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Lieferanten-Risikomatrix 2023 (Compliance-Schwerpunkt)</w:t>
      </w:r>
    </w:p>
    <w:p/>
    <w:p>
      <w:pPr>
        <w:pStyle w:val="Heading3"/>
      </w:pPr>
      <w:r>
        <w:t>Zweck und Geltungsbereich</w:t>
      </w:r>
    </w:p>
    <w:p>
      <w:r>
        <w:t>Diese Risikomatrix bewertet die Lieferanten der Halbreiter Maschinenbau GmbH unter Compliance-Aspekten gemaess Lieferkettensorgfaltspflichtengesetz (LkSG) sowie der internen Code-of-Conduct-Anforderungen. Sie ergaenzt die operative Lieferantenbewertung (siehe Ordner 05).</w:t>
      </w:r>
    </w:p>
    <w:p>
      <w:pPr>
        <w:pStyle w:val="Heading3"/>
      </w:pPr>
      <w:r>
        <w:t>Risikokategorien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Risikokategorie</w:t>
            </w:r>
          </w:p>
        </w:tc>
        <w:tc>
          <w:tcPr>
            <w:tcW w:type="dxa" w:w="2880"/>
          </w:tcPr>
          <w:p>
            <w:r>
              <w:t>Gewicht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</w:tr>
      <w:tr>
        <w:tc>
          <w:tcPr>
            <w:tcW w:type="dxa" w:w="2880"/>
          </w:tcPr>
          <w:p>
            <w:r>
              <w:t>Menschenrechte</w:t>
            </w:r>
          </w:p>
        </w:tc>
        <w:tc>
          <w:tcPr>
            <w:tcW w:type="dxa" w:w="2880"/>
          </w:tcPr>
          <w:p>
            <w:r>
              <w:t>30 %</w:t>
            </w:r>
          </w:p>
        </w:tc>
        <w:tc>
          <w:tcPr>
            <w:tcW w:type="dxa" w:w="2880"/>
          </w:tcPr>
          <w:p>
            <w:r>
              <w:t>Zwangsarbeit, Kinderarbeit, Vereinigungsfreiheit</w:t>
            </w:r>
          </w:p>
        </w:tc>
      </w:tr>
      <w:tr>
        <w:tc>
          <w:tcPr>
            <w:tcW w:type="dxa" w:w="2880"/>
          </w:tcPr>
          <w:p>
            <w:r>
              <w:t>Umwelt</w:t>
            </w:r>
          </w:p>
        </w:tc>
        <w:tc>
          <w:tcPr>
            <w:tcW w:type="dxa" w:w="2880"/>
          </w:tcPr>
          <w:p>
            <w:r>
              <w:t>25 %</w:t>
            </w:r>
          </w:p>
        </w:tc>
        <w:tc>
          <w:tcPr>
            <w:tcW w:type="dxa" w:w="2880"/>
          </w:tcPr>
          <w:p>
            <w:r>
              <w:t>Konventionen Minamata, Basel; Emissionen, Wasser</w:t>
            </w:r>
          </w:p>
        </w:tc>
      </w:tr>
      <w:tr>
        <w:tc>
          <w:tcPr>
            <w:tcW w:type="dxa" w:w="2880"/>
          </w:tcPr>
          <w:p>
            <w:r>
              <w:t>Antikorruption</w:t>
            </w:r>
          </w:p>
        </w:tc>
        <w:tc>
          <w:tcPr>
            <w:tcW w:type="dxa" w:w="2880"/>
          </w:tcPr>
          <w:p>
            <w:r>
              <w:t>20 %</w:t>
            </w:r>
          </w:p>
        </w:tc>
        <w:tc>
          <w:tcPr>
            <w:tcW w:type="dxa" w:w="2880"/>
          </w:tcPr>
          <w:p>
            <w:r>
              <w:t>Bestechung, Interessenkonflikte</w:t>
            </w:r>
          </w:p>
        </w:tc>
      </w:tr>
      <w:tr>
        <w:tc>
          <w:tcPr>
            <w:tcW w:type="dxa" w:w="2880"/>
          </w:tcPr>
          <w:p>
            <w:r>
              <w:t>Geografie</w:t>
            </w:r>
          </w:p>
        </w:tc>
        <w:tc>
          <w:tcPr>
            <w:tcW w:type="dxa" w:w="2880"/>
          </w:tcPr>
          <w:p>
            <w:r>
              <w:t>15 %</w:t>
            </w:r>
          </w:p>
        </w:tc>
        <w:tc>
          <w:tcPr>
            <w:tcW w:type="dxa" w:w="2880"/>
          </w:tcPr>
          <w:p>
            <w:r>
              <w:t>Laenderrisiko BAFA-Lange / Heritage-Risk-Index</w:t>
            </w:r>
          </w:p>
        </w:tc>
      </w:tr>
      <w:tr>
        <w:tc>
          <w:tcPr>
            <w:tcW w:type="dxa" w:w="2880"/>
          </w:tcPr>
          <w:p>
            <w:r>
              <w:t>Branchenrisiko</w:t>
            </w:r>
          </w:p>
        </w:tc>
        <w:tc>
          <w:tcPr>
            <w:tcW w:type="dxa" w:w="2880"/>
          </w:tcPr>
          <w:p>
            <w:r>
              <w:t>10 %</w:t>
            </w:r>
          </w:p>
        </w:tc>
        <w:tc>
          <w:tcPr>
            <w:tcW w:type="dxa" w:w="2880"/>
          </w:tcPr>
          <w:p>
            <w:r>
              <w:t>Branchenspezifisches Konfliktmineralien-Risiko</w:t>
            </w:r>
          </w:p>
        </w:tc>
      </w:tr>
    </w:tbl>
    <w:p>
      <w:pPr>
        <w:pStyle w:val="Heading3"/>
      </w:pPr>
      <w:r>
        <w:t>Risikoeinstufung Hauptlieferanten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Lieferant</w:t>
            </w:r>
          </w:p>
        </w:tc>
        <w:tc>
          <w:tcPr>
            <w:tcW w:type="dxa" w:w="2160"/>
          </w:tcPr>
          <w:p>
            <w:r>
              <w:t>Land</w:t>
            </w:r>
          </w:p>
        </w:tc>
        <w:tc>
          <w:tcPr>
            <w:tcW w:type="dxa" w:w="2160"/>
          </w:tcPr>
          <w:p>
            <w:r>
              <w:t>Risikoscore (0-100)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Schunk GmbH &amp; Co. KG</w:t>
            </w:r>
          </w:p>
        </w:tc>
        <w:tc>
          <w:tcPr>
            <w:tcW w:type="dxa" w:w="2160"/>
          </w:tcPr>
          <w:p>
            <w:r>
              <w:t>DE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niedrig</w:t>
            </w:r>
          </w:p>
        </w:tc>
      </w:tr>
      <w:tr>
        <w:tc>
          <w:tcPr>
            <w:tcW w:type="dxa" w:w="2160"/>
          </w:tcPr>
          <w:p>
            <w:r>
              <w:t>Igus GmbH</w:t>
            </w:r>
          </w:p>
        </w:tc>
        <w:tc>
          <w:tcPr>
            <w:tcW w:type="dxa" w:w="2160"/>
          </w:tcPr>
          <w:p>
            <w:r>
              <w:t>DE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niedrig</w:t>
            </w:r>
          </w:p>
        </w:tc>
      </w:tr>
      <w:tr>
        <w:tc>
          <w:tcPr>
            <w:tcW w:type="dxa" w:w="2160"/>
          </w:tcPr>
          <w:p>
            <w:r>
              <w:t>Siemens AG</w:t>
            </w:r>
          </w:p>
        </w:tc>
        <w:tc>
          <w:tcPr>
            <w:tcW w:type="dxa" w:w="2160"/>
          </w:tcPr>
          <w:p>
            <w:r>
              <w:t>DE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niedrig</w:t>
            </w:r>
          </w:p>
        </w:tc>
      </w:tr>
      <w:tr>
        <w:tc>
          <w:tcPr>
            <w:tcW w:type="dxa" w:w="2160"/>
          </w:tcPr>
          <w:p>
            <w:r>
              <w:t>Trumpf SE + Co. KG</w:t>
            </w:r>
          </w:p>
        </w:tc>
        <w:tc>
          <w:tcPr>
            <w:tcW w:type="dxa" w:w="2160"/>
          </w:tcPr>
          <w:p>
            <w:r>
              <w:t>DE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niedrig</w:t>
            </w:r>
          </w:p>
        </w:tc>
      </w:tr>
      <w:tr>
        <w:tc>
          <w:tcPr>
            <w:tcW w:type="dxa" w:w="2160"/>
          </w:tcPr>
          <w:p>
            <w:r>
              <w:t>SAP SE</w:t>
            </w:r>
          </w:p>
        </w:tc>
        <w:tc>
          <w:tcPr>
            <w:tcW w:type="dxa" w:w="2160"/>
          </w:tcPr>
          <w:p>
            <w:r>
              <w:t>DE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niedrig</w:t>
            </w:r>
          </w:p>
        </w:tc>
      </w:tr>
      <w:tr>
        <w:tc>
          <w:tcPr>
            <w:tcW w:type="dxa" w:w="2160"/>
          </w:tcPr>
          <w:p>
            <w:r>
              <w:t>DB Schenker Deutschland AG</w:t>
            </w:r>
          </w:p>
        </w:tc>
        <w:tc>
          <w:tcPr>
            <w:tcW w:type="dxa" w:w="2160"/>
          </w:tcPr>
          <w:p>
            <w:r>
              <w:t>DE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niedrig</w:t>
            </w:r>
          </w:p>
        </w:tc>
      </w:tr>
    </w:tbl>
    <w:p>
      <w:pPr>
        <w:pStyle w:val="Heading3"/>
      </w:pPr>
      <w:r>
        <w:t>Massnahmen</w:t>
      </w:r>
    </w:p>
    <w:p>
      <w:pPr>
        <w:pStyle w:val="ListBullet"/>
      </w:pPr>
      <w:r>
        <w:t>Self-Assessment Questionnaire (SAQ) jaehrlich an alle A-Lieferanten.</w:t>
      </w:r>
    </w:p>
    <w:p>
      <w:pPr>
        <w:pStyle w:val="ListBullet"/>
      </w:pPr>
      <w:r>
        <w:t>Vor-Ort-Audits stichprobenartig bei B-Lieferanten mit Score &gt; 30 (in 2024: 4 Audits geplant).</w:t>
      </w:r>
    </w:p>
    <w:p>
      <w:pPr>
        <w:pStyle w:val="ListBullet"/>
      </w:pPr>
      <w:r>
        <w:t>Eskalationsverfahren bei Verstoessen gemaess LkSG (Beschwerdekanal Compliance-Hotline).</w:t>
      </w:r>
    </w:p>
    <w:p>
      <w:pPr>
        <w:pStyle w:val="Heading3"/>
      </w:pPr>
      <w:r>
        <w:t>Bericht und Pflege</w:t>
      </w:r>
    </w:p>
    <w:p>
      <w:r>
        <w:t>Verantwortlich: Anja Lenz (Compliance). Pflege quartalsweise; Bericht an Geschaeftsfuehrung halbjaehrlich.</w:t>
      </w:r>
    </w:p>
    <w:p>
      <w:pPr>
        <w:pStyle w:val="Heading3"/>
      </w:pPr>
      <w:r>
        <w:t>Dokumentstatus und Pflege</w:t>
      </w:r>
    </w:p>
    <w:p>
      <w:r>
        <w:t>Klassifizierung: »intern – vertraulich«. Dieses Dokument ist Bestandteil des Compliance-Management-Systems (CMS) der Halbreiter Maschinenbau GmbH gemaess der Verfahrensanweisung VA-COMP-001 (Rev. 4). Verantwortlich fuer die Pflege ist Anja Lenz (Compliance-Stelle) in Abstimmung mit Sandra Becker (CFO). Eine Aktualisierung erfolgt mindestens jaehrlich sowie anlassbezogen bei wesentlichen Aenderungen der Rechtslage, der Organisation oder der Geschaeftsprozesse. Verteiler: Geschaeftsfuehrung, Bereichsleiter Compliance, Bereichsleiter QM, Betriebsrat. Archivierung erfolgt revisionssicher im DMS (M-Files) gemaess Aufbewahrungsfristenkatalog der Halbreiter Maschinenbau GmbH (Standardfrist 10 Jahre, soweit nicht laenger gesetzlich vorgeschrieben). Bei Fragen zu Inhalt oder Anwendbarkeit dieses Dokumentes wenden Sie sich an compliance@halbreiter-maschinenbau.de oder an die zustaendige Bereichsleitung.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