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Massnahmenplan ISO 9001:2015 – Audit 2023</w:t>
      </w:r>
    </w:p>
    <w:p/>
    <w:p>
      <w:pPr>
        <w:pStyle w:val="Heading3"/>
      </w:pPr>
      <w:r>
        <w:t>Zweck und Geltungsbereich</w:t>
      </w:r>
    </w:p>
    <w:p>
      <w:r>
        <w:t>Massnahmenplan zur Bearbeitung der im externen Re-Zertifizierungsaudit ISO 9001:2015 (DEKRA, 8.-10.11.2023) festgestellten Hinweise und Minor-Findings. Stand: 31.12.2023.</w:t>
      </w:r>
    </w:p>
    <w:p>
      <w:pPr>
        <w:pStyle w:val="Heading3"/>
      </w:pPr>
      <w:r>
        <w:t>Massnahmenuebersicht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Nr.</w:t>
            </w:r>
          </w:p>
        </w:tc>
        <w:tc>
          <w:tcPr>
            <w:tcW w:type="dxa" w:w="1234"/>
          </w:tcPr>
          <w:p>
            <w:r>
              <w:t>Befund / Hinweis</w:t>
            </w:r>
          </w:p>
        </w:tc>
        <w:tc>
          <w:tcPr>
            <w:tcW w:type="dxa" w:w="1234"/>
          </w:tcPr>
          <w:p>
            <w:r>
              <w:t>Klasse</w:t>
            </w:r>
          </w:p>
        </w:tc>
        <w:tc>
          <w:tcPr>
            <w:tcW w:type="dxa" w:w="1234"/>
          </w:tcPr>
          <w:p>
            <w:r>
              <w:t>Massnahme</w:t>
            </w:r>
          </w:p>
        </w:tc>
        <w:tc>
          <w:tcPr>
            <w:tcW w:type="dxa" w:w="1234"/>
          </w:tcPr>
          <w:p>
            <w:r>
              <w:t>Verantwortlich</w:t>
            </w:r>
          </w:p>
        </w:tc>
        <w:tc>
          <w:tcPr>
            <w:tcW w:type="dxa" w:w="1234"/>
          </w:tcPr>
          <w:p>
            <w:r>
              <w:t>Termin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Lieferantenstatus nicht konsistent im SAP SRM dokumentiert</w:t>
            </w:r>
          </w:p>
        </w:tc>
        <w:tc>
          <w:tcPr>
            <w:tcW w:type="dxa" w:w="1234"/>
          </w:tcPr>
          <w:p>
            <w:r>
              <w:t>Minor</w:t>
            </w:r>
          </w:p>
        </w:tc>
        <w:tc>
          <w:tcPr>
            <w:tcW w:type="dxa" w:w="1234"/>
          </w:tcPr>
          <w:p>
            <w:r>
              <w:t>Stammdatenbereinigung A/B/C-Klassifizierung</w:t>
            </w:r>
          </w:p>
        </w:tc>
        <w:tc>
          <w:tcPr>
            <w:tcW w:type="dxa" w:w="1234"/>
          </w:tcPr>
          <w:p>
            <w:r>
              <w:t>S. Braun</w:t>
            </w:r>
          </w:p>
        </w:tc>
        <w:tc>
          <w:tcPr>
            <w:tcW w:type="dxa" w:w="1234"/>
          </w:tcPr>
          <w:p>
            <w:r>
              <w:t>31.12.2023</w:t>
            </w:r>
          </w:p>
        </w:tc>
        <w:tc>
          <w:tcPr>
            <w:tcW w:type="dxa" w:w="1234"/>
          </w:tcPr>
          <w:p>
            <w:r>
              <w:t>erledigt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Reklamations-Loesungszeit &gt; 5 Tage (Service)</w:t>
            </w:r>
          </w:p>
        </w:tc>
        <w:tc>
          <w:tcPr>
            <w:tcW w:type="dxa" w:w="1234"/>
          </w:tcPr>
          <w:p>
            <w:r>
              <w:t>Minor</w:t>
            </w:r>
          </w:p>
        </w:tc>
        <w:tc>
          <w:tcPr>
            <w:tcW w:type="dxa" w:w="1234"/>
          </w:tcPr>
          <w:p>
            <w:r>
              <w:t>8D-Prozess straffen, Reaktionszeit definieren</w:t>
            </w:r>
          </w:p>
        </w:tc>
        <w:tc>
          <w:tcPr>
            <w:tcW w:type="dxa" w:w="1234"/>
          </w:tcPr>
          <w:p>
            <w:r>
              <w:t>P. Krueger</w:t>
            </w:r>
          </w:p>
        </w:tc>
        <w:tc>
          <w:tcPr>
            <w:tcW w:type="dxa" w:w="1234"/>
          </w:tcPr>
          <w:p>
            <w:r>
              <w:t>31.03.2024</w:t>
            </w:r>
          </w:p>
        </w:tc>
        <w:tc>
          <w:tcPr>
            <w:tcW w:type="dxa" w:w="1234"/>
          </w:tcPr>
          <w:p>
            <w:r>
              <w:t>in Arbeit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Schulungsmatrix Service-Techniker veraltet</w:t>
            </w:r>
          </w:p>
        </w:tc>
        <w:tc>
          <w:tcPr>
            <w:tcW w:type="dxa" w:w="1234"/>
          </w:tcPr>
          <w:p>
            <w:r>
              <w:t>Minor</w:t>
            </w:r>
          </w:p>
        </w:tc>
        <w:tc>
          <w:tcPr>
            <w:tcW w:type="dxa" w:w="1234"/>
          </w:tcPr>
          <w:p>
            <w:r>
              <w:t>Aktualisierung in Personio</w:t>
            </w:r>
          </w:p>
        </w:tc>
        <w:tc>
          <w:tcPr>
            <w:tcW w:type="dxa" w:w="1234"/>
          </w:tcPr>
          <w:p>
            <w:r>
              <w:t>P. Hartmann</w:t>
            </w:r>
          </w:p>
        </w:tc>
        <w:tc>
          <w:tcPr>
            <w:tcW w:type="dxa" w:w="1234"/>
          </w:tcPr>
          <w:p>
            <w:r>
              <w:t>31.12.2023</w:t>
            </w:r>
          </w:p>
        </w:tc>
        <w:tc>
          <w:tcPr>
            <w:tcW w:type="dxa" w:w="1234"/>
          </w:tcPr>
          <w:p>
            <w:r>
              <w:t>erledigt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Pruefmittelueberwachung Halle A unvollst.</w:t>
            </w:r>
          </w:p>
        </w:tc>
        <w:tc>
          <w:tcPr>
            <w:tcW w:type="dxa" w:w="1234"/>
          </w:tcPr>
          <w:p>
            <w:r>
              <w:t>Minor</w:t>
            </w:r>
          </w:p>
        </w:tc>
        <w:tc>
          <w:tcPr>
            <w:tcW w:type="dxa" w:w="1234"/>
          </w:tcPr>
          <w:p>
            <w:r>
              <w:t>Kalibrierscheine im DMS pflegen</w:t>
            </w:r>
          </w:p>
        </w:tc>
        <w:tc>
          <w:tcPr>
            <w:tcW w:type="dxa" w:w="1234"/>
          </w:tcPr>
          <w:p>
            <w:r>
              <w:t>M. Junker</w:t>
            </w:r>
          </w:p>
        </w:tc>
        <w:tc>
          <w:tcPr>
            <w:tcW w:type="dxa" w:w="1234"/>
          </w:tcPr>
          <w:p>
            <w:r>
              <w:t>31.12.2023</w:t>
            </w:r>
          </w:p>
        </w:tc>
        <w:tc>
          <w:tcPr>
            <w:tcW w:type="dxa" w:w="1234"/>
          </w:tcPr>
          <w:p>
            <w:r>
              <w:t>erledigt</w:t>
            </w:r>
          </w:p>
        </w:tc>
      </w:tr>
    </w:tbl>
    <w:p>
      <w:pPr>
        <w:pStyle w:val="Heading3"/>
      </w:pPr>
      <w:r>
        <w:t>Naechste Schritte</w:t>
      </w:r>
    </w:p>
    <w:p>
      <w:r>
        <w:t>Nachverfolgung im Modul »IMS QM Direct« ueber das Tracking-Board QM-2023-AUD. Bestaetigung der erledigten Massnahmen durch QMB Petra Krueger. Ueberpruefung im Rahmen des internen Audits 2024.</w:t>
      </w:r>
    </w:p>
    <w:p>
      <w:pPr>
        <w:pStyle w:val="Heading3"/>
      </w:pPr>
      <w:r>
        <w:t>Freigabe</w:t>
      </w:r>
    </w:p>
    <w:p>
      <w:r>
        <w:t>Massnahmenplan freigegeben durch Petra Krueger (QMB) und Sandra Becker (CFO) am 18.12.2023.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