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Nachhaltigkeitsbericht 2023</w:t>
      </w:r>
    </w:p>
    <w:p/>
    <w:p>
      <w:pPr>
        <w:pStyle w:val="Heading3"/>
      </w:pPr>
      <w:r>
        <w:t>Zweck und Geltungsbereich</w:t>
      </w:r>
    </w:p>
    <w:p>
      <w:r>
        <w:t>Der Nachhaltigkeitsbericht 2023 der Halbreiter Maschinenbau GmbH ist als verkuerzter Bericht in Anlehnung an die GRI-Standards 2021 und an die CSRD-Vorbereitung erstellt. Die Halbreiter Maschinenbau GmbH erstellt diesen Bericht freiwillig (CSRD-Pflicht ab Geschaeftsjahr 2025).</w:t>
      </w:r>
    </w:p>
    <w:p>
      <w:pPr>
        <w:pStyle w:val="Heading3"/>
      </w:pPr>
      <w:r>
        <w:t>ESG-Kennzahlen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Bereich</w:t>
            </w:r>
          </w:p>
        </w:tc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</w:tr>
      <w:tr>
        <w:tc>
          <w:tcPr>
            <w:tcW w:type="dxa" w:w="2160"/>
          </w:tcPr>
          <w:p>
            <w:r>
              <w:t>Umwelt</w:t>
            </w:r>
          </w:p>
        </w:tc>
        <w:tc>
          <w:tcPr>
            <w:tcW w:type="dxa" w:w="2160"/>
          </w:tcPr>
          <w:p>
            <w:r>
              <w:t>Energieverbrauch (MWh)</w:t>
            </w:r>
          </w:p>
        </w:tc>
        <w:tc>
          <w:tcPr>
            <w:tcW w:type="dxa" w:w="2160"/>
          </w:tcPr>
          <w:p>
            <w:r>
              <w:t>1.922</w:t>
            </w:r>
          </w:p>
        </w:tc>
        <w:tc>
          <w:tcPr>
            <w:tcW w:type="dxa" w:w="2160"/>
          </w:tcPr>
          <w:p>
            <w:r>
              <w:t>2.038</w:t>
            </w:r>
          </w:p>
        </w:tc>
      </w:tr>
      <w:tr>
        <w:tc>
          <w:tcPr>
            <w:tcW w:type="dxa" w:w="2160"/>
          </w:tcPr>
          <w:p>
            <w:r>
              <w:t>Umwelt</w:t>
            </w:r>
          </w:p>
        </w:tc>
        <w:tc>
          <w:tcPr>
            <w:tcW w:type="dxa" w:w="2160"/>
          </w:tcPr>
          <w:p>
            <w:r>
              <w:t>Scope-1+2 CO2 (t CO2eq)</w:t>
            </w:r>
          </w:p>
        </w:tc>
        <w:tc>
          <w:tcPr>
            <w:tcW w:type="dxa" w:w="2160"/>
          </w:tcPr>
          <w:p>
            <w:r>
              <w:t>626</w:t>
            </w:r>
          </w:p>
        </w:tc>
        <w:tc>
          <w:tcPr>
            <w:tcW w:type="dxa" w:w="2160"/>
          </w:tcPr>
          <w:p>
            <w:r>
              <w:t>692</w:t>
            </w:r>
          </w:p>
        </w:tc>
      </w:tr>
      <w:tr>
        <w:tc>
          <w:tcPr>
            <w:tcW w:type="dxa" w:w="2160"/>
          </w:tcPr>
          <w:p>
            <w:r>
              <w:t>Umwelt</w:t>
            </w:r>
          </w:p>
        </w:tc>
        <w:tc>
          <w:tcPr>
            <w:tcW w:type="dxa" w:w="2160"/>
          </w:tcPr>
          <w:p>
            <w:r>
              <w:t>Wasserverbrauch (m3)</w:t>
            </w:r>
          </w:p>
        </w:tc>
        <w:tc>
          <w:tcPr>
            <w:tcW w:type="dxa" w:w="2160"/>
          </w:tcPr>
          <w:p>
            <w:r>
              <w:t>4.840</w:t>
            </w:r>
          </w:p>
        </w:tc>
        <w:tc>
          <w:tcPr>
            <w:tcW w:type="dxa" w:w="2160"/>
          </w:tcPr>
          <w:p>
            <w:r>
              <w:t>5.120</w:t>
            </w:r>
          </w:p>
        </w:tc>
      </w:tr>
      <w:tr>
        <w:tc>
          <w:tcPr>
            <w:tcW w:type="dxa" w:w="2160"/>
          </w:tcPr>
          <w:p>
            <w:r>
              <w:t>Umwelt</w:t>
            </w:r>
          </w:p>
        </w:tc>
        <w:tc>
          <w:tcPr>
            <w:tcW w:type="dxa" w:w="2160"/>
          </w:tcPr>
          <w:p>
            <w:r>
              <w:t>Abfall gefaehrlich (t)</w:t>
            </w:r>
          </w:p>
        </w:tc>
        <w:tc>
          <w:tcPr>
            <w:tcW w:type="dxa" w:w="2160"/>
          </w:tcPr>
          <w:p>
            <w:r>
              <w:t xml:space="preserve">  9,8</w:t>
            </w:r>
          </w:p>
        </w:tc>
        <w:tc>
          <w:tcPr>
            <w:tcW w:type="dxa" w:w="2160"/>
          </w:tcPr>
          <w:p>
            <w:r>
              <w:t xml:space="preserve"> 11,2</w:t>
            </w:r>
          </w:p>
        </w:tc>
      </w:tr>
      <w:tr>
        <w:tc>
          <w:tcPr>
            <w:tcW w:type="dxa" w:w="2160"/>
          </w:tcPr>
          <w:p>
            <w:r>
              <w:t>Soziales</w:t>
            </w:r>
          </w:p>
        </w:tc>
        <w:tc>
          <w:tcPr>
            <w:tcW w:type="dxa" w:w="2160"/>
          </w:tcPr>
          <w:p>
            <w:r>
              <w:t>Mitarbeiter (FTE)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236</w:t>
            </w:r>
          </w:p>
        </w:tc>
      </w:tr>
      <w:tr>
        <w:tc>
          <w:tcPr>
            <w:tcW w:type="dxa" w:w="2160"/>
          </w:tcPr>
          <w:p>
            <w:r>
              <w:t>Soziales</w:t>
            </w:r>
          </w:p>
        </w:tc>
        <w:tc>
          <w:tcPr>
            <w:tcW w:type="dxa" w:w="2160"/>
          </w:tcPr>
          <w:p>
            <w:r>
              <w:t>Frauenanteil Gesamt</w:t>
            </w:r>
          </w:p>
        </w:tc>
        <w:tc>
          <w:tcPr>
            <w:tcW w:type="dxa" w:w="2160"/>
          </w:tcPr>
          <w:p>
            <w:r>
              <w:t>24 %</w:t>
            </w:r>
          </w:p>
        </w:tc>
        <w:tc>
          <w:tcPr>
            <w:tcW w:type="dxa" w:w="2160"/>
          </w:tcPr>
          <w:p>
            <w:r>
              <w:t>23 %</w:t>
            </w:r>
          </w:p>
        </w:tc>
      </w:tr>
      <w:tr>
        <w:tc>
          <w:tcPr>
            <w:tcW w:type="dxa" w:w="2160"/>
          </w:tcPr>
          <w:p>
            <w:r>
              <w:t>Soziales</w:t>
            </w:r>
          </w:p>
        </w:tc>
        <w:tc>
          <w:tcPr>
            <w:tcW w:type="dxa" w:w="2160"/>
          </w:tcPr>
          <w:p>
            <w:r>
              <w:t>Frauenanteil Fuehrung</w:t>
            </w:r>
          </w:p>
        </w:tc>
        <w:tc>
          <w:tcPr>
            <w:tcW w:type="dxa" w:w="2160"/>
          </w:tcPr>
          <w:p>
            <w:r>
              <w:t>18 %</w:t>
            </w:r>
          </w:p>
        </w:tc>
        <w:tc>
          <w:tcPr>
            <w:tcW w:type="dxa" w:w="2160"/>
          </w:tcPr>
          <w:p>
            <w:r>
              <w:t>16 %</w:t>
            </w:r>
          </w:p>
        </w:tc>
      </w:tr>
      <w:tr>
        <w:tc>
          <w:tcPr>
            <w:tcW w:type="dxa" w:w="2160"/>
          </w:tcPr>
          <w:p>
            <w:r>
              <w:t>Soziales</w:t>
            </w:r>
          </w:p>
        </w:tc>
        <w:tc>
          <w:tcPr>
            <w:tcW w:type="dxa" w:w="2160"/>
          </w:tcPr>
          <w:p>
            <w:r>
              <w:t>Unfallquote (LTIFR)</w:t>
            </w:r>
          </w:p>
        </w:tc>
        <w:tc>
          <w:tcPr>
            <w:tcW w:type="dxa" w:w="2160"/>
          </w:tcPr>
          <w:p>
            <w:r>
              <w:t>4,2</w:t>
            </w:r>
          </w:p>
        </w:tc>
        <w:tc>
          <w:tcPr>
            <w:tcW w:type="dxa" w:w="2160"/>
          </w:tcPr>
          <w:p>
            <w:r>
              <w:t>5,1</w:t>
            </w:r>
          </w:p>
        </w:tc>
      </w:tr>
      <w:tr>
        <w:tc>
          <w:tcPr>
            <w:tcW w:type="dxa" w:w="2160"/>
          </w:tcPr>
          <w:p>
            <w:r>
              <w:t>Governance</w:t>
            </w:r>
          </w:p>
        </w:tc>
        <w:tc>
          <w:tcPr>
            <w:tcW w:type="dxa" w:w="2160"/>
          </w:tcPr>
          <w:p>
            <w:r>
              <w:t>Compliance-Schulungsquote</w:t>
            </w:r>
          </w:p>
        </w:tc>
        <w:tc>
          <w:tcPr>
            <w:tcW w:type="dxa" w:w="2160"/>
          </w:tcPr>
          <w:p>
            <w:r>
              <w:t>99 %</w:t>
            </w:r>
          </w:p>
        </w:tc>
        <w:tc>
          <w:tcPr>
            <w:tcW w:type="dxa" w:w="2160"/>
          </w:tcPr>
          <w:p>
            <w:r>
              <w:t>97 %</w:t>
            </w:r>
          </w:p>
        </w:tc>
      </w:tr>
      <w:tr>
        <w:tc>
          <w:tcPr>
            <w:tcW w:type="dxa" w:w="2160"/>
          </w:tcPr>
          <w:p>
            <w:r>
              <w:t>Governance</w:t>
            </w:r>
          </w:p>
        </w:tc>
        <w:tc>
          <w:tcPr>
            <w:tcW w:type="dxa" w:w="2160"/>
          </w:tcPr>
          <w:p>
            <w:r>
              <w:t>Lieferanten mit CoC-Anerkennung</w:t>
            </w:r>
          </w:p>
        </w:tc>
        <w:tc>
          <w:tcPr>
            <w:tcW w:type="dxa" w:w="2160"/>
          </w:tcPr>
          <w:p>
            <w:r>
              <w:t>96 %</w:t>
            </w:r>
          </w:p>
        </w:tc>
        <w:tc>
          <w:tcPr>
            <w:tcW w:type="dxa" w:w="2160"/>
          </w:tcPr>
          <w:p>
            <w:r>
              <w:t>92 %</w:t>
            </w:r>
          </w:p>
        </w:tc>
      </w:tr>
    </w:tbl>
    <w:p>
      <w:pPr>
        <w:pStyle w:val="Heading3"/>
      </w:pPr>
      <w:r>
        <w:t>Strategische Hebel 2024</w:t>
      </w:r>
    </w:p>
    <w:p>
      <w:pPr>
        <w:pStyle w:val="ListBullet"/>
      </w:pPr>
      <w:r>
        <w:t>PV-Anlage Halle B Sued (350 kWp).</w:t>
      </w:r>
    </w:p>
    <w:p>
      <w:pPr>
        <w:pStyle w:val="ListBullet"/>
      </w:pPr>
      <w:r>
        <w:t>Wechsel auf zertifizierten Oekostrom 01.01.2025.</w:t>
      </w:r>
    </w:p>
    <w:p>
      <w:pPr>
        <w:pStyle w:val="ListBullet"/>
      </w:pPr>
      <w:r>
        <w:t>Diversity-Programm »Frauen in Technik« in Kooperation mit RWTH/FH Koeln.</w:t>
      </w:r>
    </w:p>
    <w:p>
      <w:pPr>
        <w:pStyle w:val="ListBullet"/>
      </w:pPr>
      <w:r>
        <w:t>Lieferketten-Sorgfaltspflicht: Roll-out SAQ und Risikomatrix.</w:t>
      </w:r>
    </w:p>
    <w:p>
      <w:pPr>
        <w:pStyle w:val="Heading3"/>
      </w:pPr>
      <w:r>
        <w:t>Bestaetigung</w:t>
      </w:r>
    </w:p>
    <w:p>
      <w:r>
        <w:t>Der Bericht wurde durch Sandra Becker (CFO) am 14. Maerz 2024 freigegeben und vom externen Berater EnviCon GmbH (Koeln) auf Plausibilitaet durchgesehen.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