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Qualitaetspruefbericht Q4/2023</w:t>
      </w:r>
    </w:p>
    <w:p/>
    <w:p>
      <w:pPr>
        <w:pStyle w:val="Heading3"/>
      </w:pPr>
      <w:r>
        <w:t>Zweck und Geltungsbereich</w:t>
      </w:r>
    </w:p>
    <w:p>
      <w:r>
        <w:t>Quartalsbericht der Qualitaetssicherung der Halbreiter Maschinenbau GmbH zum 4. Quartal 2023. Erstellt durch Petra Krueger (Qualitaetsmanagementbeauftragte), freigegeben durch GF.</w:t>
      </w:r>
    </w:p>
    <w:p>
      <w:pPr>
        <w:pStyle w:val="Heading3"/>
      </w:pPr>
      <w:r>
        <w:t>Kennzahlen Q4/2023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Q4/2023</w:t>
            </w:r>
          </w:p>
        </w:tc>
        <w:tc>
          <w:tcPr>
            <w:tcW w:type="dxa" w:w="2160"/>
          </w:tcPr>
          <w:p>
            <w:r>
              <w:t>Q3/2023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Reklamationsquote (auf Lieferungen)</w:t>
            </w:r>
          </w:p>
        </w:tc>
        <w:tc>
          <w:tcPr>
            <w:tcW w:type="dxa" w:w="2160"/>
          </w:tcPr>
          <w:p>
            <w:r>
              <w:t>1,2 %</w:t>
            </w:r>
          </w:p>
        </w:tc>
        <w:tc>
          <w:tcPr>
            <w:tcW w:type="dxa" w:w="2160"/>
          </w:tcPr>
          <w:p>
            <w:r>
              <w:t>1,4 %</w:t>
            </w:r>
          </w:p>
        </w:tc>
        <w:tc>
          <w:tcPr>
            <w:tcW w:type="dxa" w:w="2160"/>
          </w:tcPr>
          <w:p>
            <w:r>
              <w:t>↘</w:t>
            </w:r>
          </w:p>
        </w:tc>
      </w:tr>
      <w:tr>
        <w:tc>
          <w:tcPr>
            <w:tcW w:type="dxa" w:w="2160"/>
          </w:tcPr>
          <w:p>
            <w:r>
              <w:t>8D-Reports erstellt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↘</w:t>
            </w:r>
          </w:p>
        </w:tc>
      </w:tr>
      <w:tr>
        <w:tc>
          <w:tcPr>
            <w:tcW w:type="dxa" w:w="2160"/>
          </w:tcPr>
          <w:p>
            <w:r>
              <w:t>FPY (First Pass Yield) Endmontage</w:t>
            </w:r>
          </w:p>
        </w:tc>
        <w:tc>
          <w:tcPr>
            <w:tcW w:type="dxa" w:w="2160"/>
          </w:tcPr>
          <w:p>
            <w:r>
              <w:t>94,8 %</w:t>
            </w:r>
          </w:p>
        </w:tc>
        <w:tc>
          <w:tcPr>
            <w:tcW w:type="dxa" w:w="2160"/>
          </w:tcPr>
          <w:p>
            <w:r>
              <w:t>93,6 %</w:t>
            </w:r>
          </w:p>
        </w:tc>
        <w:tc>
          <w:tcPr>
            <w:tcW w:type="dxa" w:w="2160"/>
          </w:tcPr>
          <w:p>
            <w:r>
              <w:t>↗</w:t>
            </w:r>
          </w:p>
        </w:tc>
      </w:tr>
      <w:tr>
        <w:tc>
          <w:tcPr>
            <w:tcW w:type="dxa" w:w="2160"/>
          </w:tcPr>
          <w:p>
            <w:r>
              <w:t>Pruefumfangsabweichung (&gt;1,5σ)</w:t>
            </w:r>
          </w:p>
        </w:tc>
        <w:tc>
          <w:tcPr>
            <w:tcW w:type="dxa" w:w="2160"/>
          </w:tcPr>
          <w:p>
            <w:r>
              <w:t>0,9 %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↘</w:t>
            </w:r>
          </w:p>
        </w:tc>
      </w:tr>
      <w:tr>
        <w:tc>
          <w:tcPr>
            <w:tcW w:type="dxa" w:w="2160"/>
          </w:tcPr>
          <w:p>
            <w:r>
              <w:t>Lieferantenreklamationen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↘</w:t>
            </w:r>
          </w:p>
        </w:tc>
      </w:tr>
    </w:tbl>
    <w:p>
      <w:pPr>
        <w:pStyle w:val="Heading3"/>
      </w:pPr>
      <w:r>
        <w:t>Hauptbefunde</w:t>
      </w:r>
    </w:p>
    <w:p>
      <w:pPr>
        <w:pStyle w:val="ListBullet"/>
      </w:pPr>
      <w:r>
        <w:t>Wiederholungsproblem »Hydraulikleck PL-500 Q3-Charge«: Massnahme Lieferantenwechsel Dichtungsring (neuer Lieferant Trelleborg) erfolgreich.</w:t>
      </w:r>
    </w:p>
    <w:p>
      <w:pPr>
        <w:pStyle w:val="ListBullet"/>
      </w:pPr>
      <w:r>
        <w:t>Servicereklamationen Bosch: deutliche Reduktion durch Premium-SLA und proaktive Wartung.</w:t>
      </w:r>
    </w:p>
    <w:p>
      <w:pPr>
        <w:pStyle w:val="ListBullet"/>
      </w:pPr>
      <w:r>
        <w:t>Schulungsbedarf bei Endmontage Halle B identifiziert (Loetstellen-Inspektion).</w:t>
      </w:r>
    </w:p>
    <w:p>
      <w:pPr>
        <w:pStyle w:val="Heading3"/>
      </w:pPr>
      <w:r>
        <w:t>Massnahmen Q1/2024</w:t>
      </w:r>
    </w:p>
    <w:p>
      <w:pPr>
        <w:pStyle w:val="ListBullet"/>
      </w:pPr>
      <w:r>
        <w:t>Implementierung erweitertes SPC-Reporting (PowerBI-Dashboard).</w:t>
      </w:r>
    </w:p>
    <w:p>
      <w:pPr>
        <w:pStyle w:val="ListBullet"/>
      </w:pPr>
      <w:r>
        <w:t>Schulung »Sichtpruefung Loetstellen« fuer 12 Endmontage-MA.</w:t>
      </w:r>
    </w:p>
    <w:p>
      <w:pPr>
        <w:pStyle w:val="ListBullet"/>
      </w:pPr>
      <w:r>
        <w:t>Lieferantenaudit Trelleborg (vor Ort) Q1/2024.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