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REACH-Verordnung – Compliance-Dokumentation 2024</w:t>
      </w:r>
    </w:p>
    <w:p/>
    <w:p>
      <w:pPr>
        <w:pStyle w:val="Heading3"/>
      </w:pPr>
      <w:r>
        <w:t>Zweck und Geltungsbereich</w:t>
      </w:r>
    </w:p>
    <w:p>
      <w:r>
        <w:t>Diese Dokumentation belegt die Einhaltung der REACH-Verordnung (EG) Nr. 1907/2006 durch die Halbreiter Maschinenbau GmbH. Die Gesellschaft ist nachgeschalteter Anwender (Downstream User) und Produkthersteller; eine Registrierungspflicht besteht aufgrund Tonnage und Produktart nicht.</w:t>
      </w:r>
    </w:p>
    <w:p>
      <w:pPr>
        <w:pStyle w:val="Heading3"/>
      </w:pPr>
      <w:r>
        <w:t>Erfasste Stoffgruppen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Stoffgruppe</w:t>
            </w:r>
          </w:p>
        </w:tc>
        <w:tc>
          <w:tcPr>
            <w:tcW w:type="dxa" w:w="2160"/>
          </w:tcPr>
          <w:p>
            <w:r>
              <w:t>Verwendung</w:t>
            </w:r>
          </w:p>
        </w:tc>
        <w:tc>
          <w:tcPr>
            <w:tcW w:type="dxa" w:w="2160"/>
          </w:tcPr>
          <w:p>
            <w:r>
              <w:t>Lieferant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</w:tr>
      <w:tr>
        <w:tc>
          <w:tcPr>
            <w:tcW w:type="dxa" w:w="2160"/>
          </w:tcPr>
          <w:p>
            <w:r>
              <w:t>Kuehlschmierstoffe</w:t>
            </w:r>
          </w:p>
        </w:tc>
        <w:tc>
          <w:tcPr>
            <w:tcW w:type="dxa" w:w="2160"/>
          </w:tcPr>
          <w:p>
            <w:r>
              <w:t>CNC-Zerspanung</w:t>
            </w:r>
          </w:p>
        </w:tc>
        <w:tc>
          <w:tcPr>
            <w:tcW w:type="dxa" w:w="2160"/>
          </w:tcPr>
          <w:p>
            <w:r>
              <w:t>Castrol GmbH</w:t>
            </w:r>
          </w:p>
        </w:tc>
        <w:tc>
          <w:tcPr>
            <w:tcW w:type="dxa" w:w="2160"/>
          </w:tcPr>
          <w:p>
            <w:r>
              <w:t>REACH-konform, SDB v3</w:t>
            </w:r>
          </w:p>
        </w:tc>
      </w:tr>
      <w:tr>
        <w:tc>
          <w:tcPr>
            <w:tcW w:type="dxa" w:w="2160"/>
          </w:tcPr>
          <w:p>
            <w:r>
              <w:t>Hydraulikoele</w:t>
            </w:r>
          </w:p>
        </w:tc>
        <w:tc>
          <w:tcPr>
            <w:tcW w:type="dxa" w:w="2160"/>
          </w:tcPr>
          <w:p>
            <w:r>
              <w:t>Pressen / Foerderband</w:t>
            </w:r>
          </w:p>
        </w:tc>
        <w:tc>
          <w:tcPr>
            <w:tcW w:type="dxa" w:w="2160"/>
          </w:tcPr>
          <w:p>
            <w:r>
              <w:t>Shell Deutschland</w:t>
            </w:r>
          </w:p>
        </w:tc>
        <w:tc>
          <w:tcPr>
            <w:tcW w:type="dxa" w:w="2160"/>
          </w:tcPr>
          <w:p>
            <w:r>
              <w:t>REACH-konform</w:t>
            </w:r>
          </w:p>
        </w:tc>
      </w:tr>
      <w:tr>
        <w:tc>
          <w:tcPr>
            <w:tcW w:type="dxa" w:w="2160"/>
          </w:tcPr>
          <w:p>
            <w:r>
              <w:t>Schmierfette</w:t>
            </w:r>
          </w:p>
        </w:tc>
        <w:tc>
          <w:tcPr>
            <w:tcW w:type="dxa" w:w="2160"/>
          </w:tcPr>
          <w:p>
            <w:r>
              <w:t>Lager, Antriebe</w:t>
            </w:r>
          </w:p>
        </w:tc>
        <w:tc>
          <w:tcPr>
            <w:tcW w:type="dxa" w:w="2160"/>
          </w:tcPr>
          <w:p>
            <w:r>
              <w:t>SKF / Klueber</w:t>
            </w:r>
          </w:p>
        </w:tc>
        <w:tc>
          <w:tcPr>
            <w:tcW w:type="dxa" w:w="2160"/>
          </w:tcPr>
          <w:p>
            <w:r>
              <w:t>REACH-konform</w:t>
            </w:r>
          </w:p>
        </w:tc>
      </w:tr>
      <w:tr>
        <w:tc>
          <w:tcPr>
            <w:tcW w:type="dxa" w:w="2160"/>
          </w:tcPr>
          <w:p>
            <w:r>
              <w:t>Klebstoffe</w:t>
            </w:r>
          </w:p>
        </w:tc>
        <w:tc>
          <w:tcPr>
            <w:tcW w:type="dxa" w:w="2160"/>
          </w:tcPr>
          <w:p>
            <w:r>
              <w:t>Sondermontage</w:t>
            </w:r>
          </w:p>
        </w:tc>
        <w:tc>
          <w:tcPr>
            <w:tcW w:type="dxa" w:w="2160"/>
          </w:tcPr>
          <w:p>
            <w:r>
              <w:t>Henkel Loctite</w:t>
            </w:r>
          </w:p>
        </w:tc>
        <w:tc>
          <w:tcPr>
            <w:tcW w:type="dxa" w:w="2160"/>
          </w:tcPr>
          <w:p>
            <w:r>
              <w:t>REACH-konform</w:t>
            </w:r>
          </w:p>
        </w:tc>
      </w:tr>
      <w:tr>
        <w:tc>
          <w:tcPr>
            <w:tcW w:type="dxa" w:w="2160"/>
          </w:tcPr>
          <w:p>
            <w:r>
              <w:t>Reinigungsmittel</w:t>
            </w:r>
          </w:p>
        </w:tc>
        <w:tc>
          <w:tcPr>
            <w:tcW w:type="dxa" w:w="2160"/>
          </w:tcPr>
          <w:p>
            <w:r>
              <w:t>Werkstatt</w:t>
            </w:r>
          </w:p>
        </w:tc>
        <w:tc>
          <w:tcPr>
            <w:tcW w:type="dxa" w:w="2160"/>
          </w:tcPr>
          <w:p>
            <w:r>
              <w:t>diverse</w:t>
            </w:r>
          </w:p>
        </w:tc>
        <w:tc>
          <w:tcPr>
            <w:tcW w:type="dxa" w:w="2160"/>
          </w:tcPr>
          <w:p>
            <w:r>
              <w:t>Plausibilitaetspr. quart.</w:t>
            </w:r>
          </w:p>
        </w:tc>
      </w:tr>
    </w:tbl>
    <w:p>
      <w:pPr>
        <w:pStyle w:val="Heading3"/>
      </w:pPr>
      <w:r>
        <w:t>SVHC-Pruefung</w:t>
      </w:r>
    </w:p>
    <w:p>
      <w:r>
        <w:t>Eine jaehrliche Pruefung der Kandidatenliste fuer besonders besorgniserregende Stoffe (SVHC) wird durch Petra Krueger (QMB) durchgefuehrt. Stand 31.01.2024: 240 SVHC auf der Kandidatenliste; im MMB-Produktportfolio sind keine SVHC &gt; 0,1 % w/w enthalten (Stand der Stoffinformationen Lieferanten).</w:t>
      </w:r>
    </w:p>
    <w:p>
      <w:pPr>
        <w:pStyle w:val="Heading3"/>
      </w:pPr>
      <w:r>
        <w:t>Lieferantenkommunikation</w:t>
      </w:r>
    </w:p>
    <w:p>
      <w:r>
        <w:t>Lieferanten muessen bei Aenderungen der Stoffzusammensetzung Sicherheitsdatenblaetter (SDB nach Anhang II der REACH-VO) zeitnah uebermitteln. Eingangserfassung im DMS, Pruefung durch QMB binnen 5 Werktagen.</w:t>
      </w:r>
    </w:p>
    <w:p>
      <w:pPr>
        <w:pStyle w:val="Heading3"/>
      </w:pPr>
      <w:r>
        <w:t>Schnittstelle CLP / ECHA</w:t>
      </w:r>
    </w:p>
    <w:p>
      <w:r>
        <w:t>Kennzeichnung von Gefahrstoffen am Standort gemaess CLP-VO; Stoffkataster im SAP EHS-Modul.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