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Revisions- und Auditplan 2024 (Internal Audit)</w:t>
      </w:r>
    </w:p>
    <w:p/>
    <w:p>
      <w:pPr>
        <w:pStyle w:val="Heading3"/>
      </w:pPr>
      <w:r>
        <w:t>Zweck und Geltungsbereich</w:t>
      </w:r>
    </w:p>
    <w:p>
      <w:r>
        <w:t>Jaehrlicher Revisionsplan der Halbreiter Maschinenbau GmbH (Internal Audit). Die Funktion »Internal Audit« wird von Anja Lenz (Compliance) wahrgenommen und an Sandra Becker (CFO) sowie die Geschaeftsfuehrung berichtet.</w:t>
      </w:r>
    </w:p>
    <w:p>
      <w:pPr>
        <w:pStyle w:val="Heading3"/>
      </w:pPr>
      <w:r>
        <w:t>Auditplan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Audit-Gegenstand</w:t>
            </w:r>
          </w:p>
        </w:tc>
        <w:tc>
          <w:tcPr>
            <w:tcW w:type="dxa" w:w="2160"/>
          </w:tcPr>
          <w:p>
            <w:r>
              <w:t>Quartal</w:t>
            </w:r>
          </w:p>
        </w:tc>
        <w:tc>
          <w:tcPr>
            <w:tcW w:type="dxa" w:w="2160"/>
          </w:tcPr>
          <w:p>
            <w:r>
              <w:t>Auditor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Wareneingang / Wertfluss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A. Lenz + ext. Berater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Abrechnung A-Kunden / Forderungsmanagement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A. Lenz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Lieferantenmanagement / Vendor-File-Risiko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A. Lenz + S. Braun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IT-Berechtigungen / SAP-Rollen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A. Lenz + H. Brinkmann (IT)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Reisekostenabrechnung GF + Vertrieb</w:t>
            </w:r>
          </w:p>
        </w:tc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A. Lenz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Exportkontrolle / Sanktionen</w:t>
            </w:r>
          </w:p>
        </w:tc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A. Lenz + ext. BAFA-Berater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Tankvertraege / Fuhrpark</w:t>
            </w:r>
          </w:p>
        </w:tc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A. Lenz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Compliance Communication / Hinweisgebersystem</w:t>
            </w:r>
          </w:p>
        </w:tc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A. Lenz</w:t>
            </w:r>
          </w:p>
        </w:tc>
      </w:tr>
    </w:tbl>
    <w:p>
      <w:pPr>
        <w:pStyle w:val="Heading3"/>
      </w:pPr>
      <w:r>
        <w:t>Ressourcen und Berichtsrhythmus</w:t>
      </w:r>
    </w:p>
    <w:p>
      <w:r>
        <w:t>Audits werden gemaess IDW PS 983 (analog) durchgefuehrt. Berichte gehen an GF/Aufsicht binnen 30 Tagen nach Audit-Abschluss; Massnahmen werden im Modul »Internal Audit Tracker« nachverfolgt.</w:t>
      </w:r>
    </w:p>
    <w:p>
      <w:pPr>
        <w:pStyle w:val="Heading3"/>
      </w:pPr>
      <w:r>
        <w:t>Themen 2025 (Vorausplanung)</w:t>
      </w:r>
    </w:p>
    <w:p>
      <w:pPr>
        <w:pStyle w:val="ListBullet"/>
      </w:pPr>
      <w:r>
        <w:t>Erstes Pre-Audit zur CSRD-Berichterstattung.</w:t>
      </w:r>
    </w:p>
    <w:p>
      <w:pPr>
        <w:pStyle w:val="ListBullet"/>
      </w:pPr>
      <w:r>
        <w:t>DSGVO-Audit (Routine alle 2 Jahre).</w:t>
      </w:r>
    </w:p>
    <w:p>
      <w:pPr>
        <w:pStyle w:val="ListBullet"/>
      </w:pPr>
      <w:r>
        <w:t>ISO 27001-Vorbereitung (ITSec-Reifegrad).</w:t>
      </w:r>
    </w:p>
    <w:p>
      <w:pPr>
        <w:pStyle w:val="Heading3"/>
      </w:pPr>
      <w:r>
        <w:t>Freigabe</w:t>
      </w:r>
    </w:p>
    <w:p>
      <w:r>
        <w:t>Plan freigegeben durch Klaus Mueller (CEO) und Sandra Becker (CFO) am 22.01.2024.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