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Risikoregister 2024 (Top-10-Risiken)</w:t>
      </w:r>
    </w:p>
    <w:p/>
    <w:p>
      <w:pPr>
        <w:pStyle w:val="Heading3"/>
      </w:pPr>
      <w:r>
        <w:t>Zweck und Geltungsbereich</w:t>
      </w:r>
    </w:p>
    <w:p>
      <w:r>
        <w:t>Das Risikoregister erfasst die wesentlichen Unternehmensrisiken der Halbreiter Maschinenbau GmbH. Es wird quartalsweise durch das Risk Committee (CEO, CFO, COO/Produktion, IT, Compliance) ueberpruefst und an den Beirat berichtet.</w:t>
      </w:r>
    </w:p>
    <w:p>
      <w:pPr>
        <w:pStyle w:val="Heading3"/>
      </w:pPr>
      <w:r>
        <w:t>Top-10-Risiken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Eintritt</w:t>
            </w:r>
          </w:p>
        </w:tc>
        <w:tc>
          <w:tcPr>
            <w:tcW w:type="dxa" w:w="1728"/>
          </w:tcPr>
          <w:p>
            <w:r>
              <w:t>Auswirkung (EUR)</w:t>
            </w:r>
          </w:p>
        </w:tc>
        <w:tc>
          <w:tcPr>
            <w:tcW w:type="dxa" w:w="1728"/>
          </w:tcPr>
          <w:p>
            <w:r>
              <w:t>Steuerung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Konjunkturrisiko Maschinenbau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&gt; 5 Mio.</w:t>
            </w:r>
          </w:p>
        </w:tc>
        <w:tc>
          <w:tcPr>
            <w:tcW w:type="dxa" w:w="1728"/>
          </w:tcPr>
          <w:p>
            <w:r>
              <w:t>Diversifikation Branchen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Kundenkonzentration (Top-5 = 58 %)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&gt; 8 Mio.</w:t>
            </w:r>
          </w:p>
        </w:tc>
        <w:tc>
          <w:tcPr>
            <w:tcW w:type="dxa" w:w="1728"/>
          </w:tcPr>
          <w:p>
            <w:r>
              <w:t>Neukundenakquise Sued/Ost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Stahlpreisrisiko / Materialinflation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  <w:tc>
          <w:tcPr>
            <w:tcW w:type="dxa" w:w="1728"/>
          </w:tcPr>
          <w:p>
            <w:r>
              <w:t>&gt; 1,5 Mio.</w:t>
            </w:r>
          </w:p>
        </w:tc>
        <w:tc>
          <w:tcPr>
            <w:tcW w:type="dxa" w:w="1728"/>
          </w:tcPr>
          <w:p>
            <w:r>
              <w:t>Preisindexierung Vertrag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Cyber-Vorfall (ERP/Produktion)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&gt; 2 Mio.</w:t>
            </w:r>
          </w:p>
        </w:tc>
        <w:tc>
          <w:tcPr>
            <w:tcW w:type="dxa" w:w="1728"/>
          </w:tcPr>
          <w:p>
            <w:r>
              <w:t>ISMS, BCM, Versicherung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Stoerung Pressenlinie PL-500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  <w:tc>
          <w:tcPr>
            <w:tcW w:type="dxa" w:w="1728"/>
          </w:tcPr>
          <w:p>
            <w:r>
              <w:t>&gt; 1 Mio.</w:t>
            </w:r>
          </w:p>
        </w:tc>
        <w:tc>
          <w:tcPr>
            <w:tcW w:type="dxa" w:w="1728"/>
          </w:tcPr>
          <w:p>
            <w:r>
              <w:t>Praeventive Wartung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Fachkraeftemangel CNC / Konstrukt.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  <w:tc>
          <w:tcPr>
            <w:tcW w:type="dxa" w:w="1728"/>
          </w:tcPr>
          <w:p>
            <w:r>
              <w:t>&gt; 0,5 Mio.</w:t>
            </w:r>
          </w:p>
        </w:tc>
        <w:tc>
          <w:tcPr>
            <w:tcW w:type="dxa" w:w="1728"/>
          </w:tcPr>
          <w:p>
            <w:r>
              <w:t>Ausbildungsoffensive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Wechselkursrisiko EUR/USD (Trumpf-FX)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&gt; 0,3 Mio.</w:t>
            </w:r>
          </w:p>
        </w:tc>
        <w:tc>
          <w:tcPr>
            <w:tcW w:type="dxa" w:w="1728"/>
          </w:tcPr>
          <w:p>
            <w:r>
              <w:t>Hedging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Compliance-Risiko Exportkontrolle CN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Reputation</w:t>
            </w:r>
          </w:p>
        </w:tc>
        <w:tc>
          <w:tcPr>
            <w:tcW w:type="dxa" w:w="1728"/>
          </w:tcPr>
          <w:p>
            <w:r>
              <w:t>Schulungen, BAFA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Klimaregulierung (CBAM, ETS-Indirekt)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&gt; 0,4 Mio.</w:t>
            </w:r>
          </w:p>
        </w:tc>
        <w:tc>
          <w:tcPr>
            <w:tcW w:type="dxa" w:w="1728"/>
          </w:tcPr>
          <w:p>
            <w:r>
              <w:t>ESG-Strategie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Pruefungsrisiko (Patente Mitbewerber)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  <w:tc>
          <w:tcPr>
            <w:tcW w:type="dxa" w:w="1728"/>
          </w:tcPr>
          <w:p>
            <w:r>
              <w:t>Reputation</w:t>
            </w:r>
          </w:p>
        </w:tc>
        <w:tc>
          <w:tcPr>
            <w:tcW w:type="dxa" w:w="1728"/>
          </w:tcPr>
          <w:p>
            <w:r>
              <w:t>IP-Pflege, FTO-Studien</w:t>
            </w:r>
          </w:p>
        </w:tc>
      </w:tr>
    </w:tbl>
    <w:p>
      <w:pPr>
        <w:pStyle w:val="Heading3"/>
      </w:pPr>
      <w:r>
        <w:t>Top-Risiko-Massnahmen</w:t>
      </w:r>
    </w:p>
    <w:p>
      <w:pPr>
        <w:pStyle w:val="ListBullet"/>
      </w:pPr>
      <w:r>
        <w:t>Reduktion Konzentrationsrisiko: Aufbau Sales-Pipeline neue Branchen (Lebensmittel-, Pharma-Maschinen).</w:t>
      </w:r>
    </w:p>
    <w:p>
      <w:pPr>
        <w:pStyle w:val="ListBullet"/>
      </w:pPr>
      <w:r>
        <w:t>Verstaerkte Materialhedging-Vereinbarungen mit Stahllieferanten (Q1/2024).</w:t>
      </w:r>
    </w:p>
    <w:p>
      <w:pPr>
        <w:pStyle w:val="ListBullet"/>
      </w:pPr>
      <w:r>
        <w:t>Implementierung erweitertes Monitoring SOC (24/7) ueber externen Dienstleister bis 06/2024.</w:t>
      </w:r>
    </w:p>
    <w:p>
      <w:pPr>
        <w:pStyle w:val="Heading3"/>
      </w:pPr>
      <w:r>
        <w:t>Pflege</w:t>
      </w:r>
    </w:p>
    <w:p>
      <w:r>
        <w:t>Verantwortlich Sandra Becker; Beirat erhaelt quartalsweise Bericht.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