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UVV-Pruefprotokoll Elektrische Anlagen 2023</w:t>
      </w:r>
    </w:p>
    <w:p/>
    <w:p>
      <w:pPr>
        <w:pStyle w:val="Heading3"/>
      </w:pPr>
      <w:r>
        <w:t>Zweck und Geltungsbereich</w:t>
      </w:r>
    </w:p>
    <w:p>
      <w:r>
        <w:t>Jaehrliche Pruefung der elektrischen Anlagen und ortsveraenderlichen Betriebsmittel gemaess DGUV Vorschrift 3 (UVV »Elektrische Anlagen und Betriebsmittel«) und DIN VDE 0701/0702. Durchgefuehrt durch die Firma Bruni Elektroanlagen GmbH, Koeln (Sachverstaendiger Herr Volker Schmid).</w:t>
      </w:r>
    </w:p>
    <w:p>
      <w:pPr>
        <w:pStyle w:val="Heading3"/>
      </w:pPr>
      <w:r>
        <w:t>Pruefumfang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Anlage / Bereich</w:t>
            </w:r>
          </w:p>
        </w:tc>
        <w:tc>
          <w:tcPr>
            <w:tcW w:type="dxa" w:w="2160"/>
          </w:tcPr>
          <w:p>
            <w:r>
              <w:t>Anzahl Pruefpunkte</w:t>
            </w:r>
          </w:p>
        </w:tc>
        <w:tc>
          <w:tcPr>
            <w:tcW w:type="dxa" w:w="2160"/>
          </w:tcPr>
          <w:p>
            <w:r>
              <w:t>Bestanden</w:t>
            </w:r>
          </w:p>
        </w:tc>
        <w:tc>
          <w:tcPr>
            <w:tcW w:type="dxa" w:w="2160"/>
          </w:tcPr>
          <w:p>
            <w:r>
              <w:t>Beanstandung</w:t>
            </w:r>
          </w:p>
        </w:tc>
      </w:tr>
      <w:tr>
        <w:tc>
          <w:tcPr>
            <w:tcW w:type="dxa" w:w="2160"/>
          </w:tcPr>
          <w:p>
            <w:r>
              <w:t>Schaltanlagen Halle A (Trafo-Station Nord)</w:t>
            </w:r>
          </w:p>
        </w:tc>
        <w:tc>
          <w:tcPr>
            <w:tcW w:type="dxa" w:w="2160"/>
          </w:tcPr>
          <w:p>
            <w:r>
              <w:t>184</w:t>
            </w:r>
          </w:p>
        </w:tc>
        <w:tc>
          <w:tcPr>
            <w:tcW w:type="dxa" w:w="2160"/>
          </w:tcPr>
          <w:p>
            <w:r>
              <w:t>184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Schaltanlagen Halle B + C</w:t>
            </w:r>
          </w:p>
        </w:tc>
        <w:tc>
          <w:tcPr>
            <w:tcW w:type="dxa" w:w="2160"/>
          </w:tcPr>
          <w:p>
            <w:r>
              <w:t>212</w:t>
            </w:r>
          </w:p>
        </w:tc>
        <w:tc>
          <w:tcPr>
            <w:tcW w:type="dxa" w:w="2160"/>
          </w:tcPr>
          <w:p>
            <w:r>
              <w:t>210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Verwaltungsgebaeude (alle Etagen)</w:t>
            </w:r>
          </w:p>
        </w:tc>
        <w:tc>
          <w:tcPr>
            <w:tcW w:type="dxa" w:w="2160"/>
          </w:tcPr>
          <w:p>
            <w:r>
              <w:t>98</w:t>
            </w:r>
          </w:p>
        </w:tc>
        <w:tc>
          <w:tcPr>
            <w:tcW w:type="dxa" w:w="2160"/>
          </w:tcPr>
          <w:p>
            <w:r>
              <w:t>98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Ortsveraenderliche Betriebsmittel (BGV A3)</w:t>
            </w:r>
          </w:p>
        </w:tc>
        <w:tc>
          <w:tcPr>
            <w:tcW w:type="dxa" w:w="2160"/>
          </w:tcPr>
          <w:p>
            <w:r>
              <w:t>742</w:t>
            </w:r>
          </w:p>
        </w:tc>
        <w:tc>
          <w:tcPr>
            <w:tcW w:type="dxa" w:w="2160"/>
          </w:tcPr>
          <w:p>
            <w:r>
              <w:t>722</w:t>
            </w:r>
          </w:p>
        </w:tc>
        <w:tc>
          <w:tcPr>
            <w:tcW w:type="dxa" w:w="2160"/>
          </w:tcPr>
          <w:p>
            <w:r>
              <w:t>20</w:t>
            </w:r>
          </w:p>
        </w:tc>
      </w:tr>
    </w:tbl>
    <w:p>
      <w:pPr>
        <w:pStyle w:val="Heading3"/>
      </w:pPr>
      <w:r>
        <w:t>Festgestellte Beanstandungen</w:t>
      </w:r>
    </w:p>
    <w:p>
      <w:pPr>
        <w:pStyle w:val="ListBullet"/>
      </w:pPr>
      <w:r>
        <w:t>Halle B: zwei Kabeltrommeln mit beschaedigter Isolierung (sofort ausgetauscht).</w:t>
      </w:r>
    </w:p>
    <w:p>
      <w:pPr>
        <w:pStyle w:val="ListBullet"/>
      </w:pPr>
      <w:r>
        <w:t>Ortsveraenderliche Betriebsmittel: 20 Geraete (Kabeltrommeln, Verlaengerungen) ausgetauscht.</w:t>
      </w:r>
    </w:p>
    <w:p>
      <w:pPr>
        <w:pStyle w:val="ListBullet"/>
      </w:pPr>
      <w:r>
        <w:t>Schaltanlagen: keine Beanstandungen, naechste Pruefung 11/2024.</w:t>
      </w:r>
    </w:p>
    <w:p>
      <w:pPr>
        <w:pStyle w:val="Heading3"/>
      </w:pPr>
      <w:r>
        <w:t>Schluss</w:t>
      </w:r>
    </w:p>
    <w:p>
      <w:r>
        <w:t>Nach Abschluss der Massnahmen wurden alle Anlagen und Betriebsmittel als »ohne Beanstandung« freigegeben. Pruefplaketten angebracht; Dokumentation im Modul »Eplan PPE« hinterlegt. Verantwortlich: Markus Junker (Instandhaltung).</w:t>
      </w:r>
    </w:p>
    <w:p>
      <w:pPr>
        <w:pStyle w:val="Heading3"/>
      </w:pPr>
      <w:r>
        <w:t>Pruefintervall</w:t>
      </w:r>
    </w:p>
    <w:p>
      <w:r>
        <w:t>Schaltanlagen: 4 Jahre; ortsveraenderliche Betriebsmittel: 12 Monate (Werkstatt/Produktion), 24 Monate (Buero). Naechste Pruefung im Plan: 11/2024.</w:t>
      </w:r>
    </w:p>
    <w:p>
      <w:pPr>
        <w:pStyle w:val="Heading3"/>
      </w:pPr>
      <w:r>
        <w:t>Dokumentstatus und Pflege</w:t>
      </w:r>
    </w:p>
    <w:p>
      <w:r>
        <w:t>Klassifizierung: »intern – vertraulich«. Dieses Dokument ist Bestandteil des Compliance-Management-Systems (CMS) der Halbreiter Maschinenbau GmbH gemaess der Verfahrensanweisung VA-COMP-001 (Rev. 4). Verantwortlich fuer die Pflege ist Anja Lenz (Compliance-Stelle) in Abstimmung mit Sandra Becker (CFO). Eine Aktualisierung erfolgt mindestens jaehrlich sowie anlassbezogen bei wesentlichen Aenderungen der Rechtslage, der Organisation oder der Geschaeftsprozesse. Verteiler: Geschaeftsfuehrung, Bereichsleiter Compliance, Bereichsleiter QM, Betriebsrat. Archivierung erfolgt revisionssicher im DMS (M-Files) gemaess Aufbewahrungsfristenkatalog der Halbreiter Maschinenbau GmbH (Standardfrist 10 Jahre, soweit nicht laenger gesetzlich vorgeschrieben). Bei Fragen zu Inhalt oder Anwendbarkeit dieses Dokumentes wenden Sie sich an compliance@halbreiter-maschinenbau.de oder an die zustaendige Bereichsleitung.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