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Sicherheitsdatenblatt – Kuehlschmierstoff Castrol Hyspin AWS 46</w:t>
      </w:r>
    </w:p>
    <w:p/>
    <w:p>
      <w:pPr>
        <w:pStyle w:val="Heading3"/>
      </w:pPr>
      <w:r>
        <w:t>Identifikation des Stoffes / Gemisches</w:t>
      </w:r>
    </w:p>
    <w:p>
      <w:r>
        <w:t>Produktbezeichnung: Castrol Hyspin AWS 46 (Hydraulikoel-Universaloel).</w:t>
        <w:br/>
        <w:t>Verwendung: Hydraulikoel fuer industrielle Maschinen (Pressen, Foerderbaender).</w:t>
        <w:br/>
        <w:t>Lieferant: Castrol Industrial / BP Europa SE, Wittener Strasse 45, 44789 Bochum.</w:t>
        <w:br/>
        <w:t>Notrufnummer: +49 30 30686790 (Giftnotruf Berlin, 24/7).</w:t>
      </w:r>
    </w:p>
    <w:p>
      <w:pPr>
        <w:pStyle w:val="Heading3"/>
      </w:pPr>
      <w:r>
        <w:t>Moegliche Gefahren</w:t>
      </w:r>
    </w:p>
    <w:p>
      <w:pPr>
        <w:pStyle w:val="ListBullet"/>
      </w:pPr>
      <w:r>
        <w:t>Einstufung gemaess CLP-VO: nicht als gefaehrlich eingestuft.</w:t>
      </w:r>
    </w:p>
    <w:p>
      <w:pPr>
        <w:pStyle w:val="ListBullet"/>
      </w:pPr>
      <w:r>
        <w:t>Hinweise: kann bei wiederholtem laengeren Hautkontakt zu Reizungen fuehren.</w:t>
      </w:r>
    </w:p>
    <w:p>
      <w:pPr>
        <w:pStyle w:val="ListBullet"/>
      </w:pPr>
      <w:r>
        <w:t>Aerosole/Daempfe vermeiden; bei hoher Erhitzung Brand- und Gesundheitsrisiken.</w:t>
      </w:r>
    </w:p>
    <w:p>
      <w:pPr>
        <w:pStyle w:val="Heading3"/>
      </w:pPr>
      <w:r>
        <w:t>Erste-Hilfe-Massnahmen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Expositionsweg</w:t>
            </w:r>
          </w:p>
        </w:tc>
        <w:tc>
          <w:tcPr>
            <w:tcW w:type="dxa" w:w="4320"/>
          </w:tcPr>
          <w:p>
            <w:r>
              <w:t>Massnahme</w:t>
            </w:r>
          </w:p>
        </w:tc>
      </w:tr>
      <w:tr>
        <w:tc>
          <w:tcPr>
            <w:tcW w:type="dxa" w:w="4320"/>
          </w:tcPr>
          <w:p>
            <w:r>
              <w:t>Hautkontakt</w:t>
            </w:r>
          </w:p>
        </w:tc>
        <w:tc>
          <w:tcPr>
            <w:tcW w:type="dxa" w:w="4320"/>
          </w:tcPr>
          <w:p>
            <w:r>
              <w:t>Mit Seife und Wasser reinigen, kontaminierte Kleidung wechseln.</w:t>
            </w:r>
          </w:p>
        </w:tc>
      </w:tr>
      <w:tr>
        <w:tc>
          <w:tcPr>
            <w:tcW w:type="dxa" w:w="4320"/>
          </w:tcPr>
          <w:p>
            <w:r>
              <w:t>Augenkontakt</w:t>
            </w:r>
          </w:p>
        </w:tc>
        <w:tc>
          <w:tcPr>
            <w:tcW w:type="dxa" w:w="4320"/>
          </w:tcPr>
          <w:p>
            <w:r>
              <w:t>Mit reichlich Wasser spuelen, ggf. Augenarzt aufsuchen.</w:t>
            </w:r>
          </w:p>
        </w:tc>
      </w:tr>
      <w:tr>
        <w:tc>
          <w:tcPr>
            <w:tcW w:type="dxa" w:w="4320"/>
          </w:tcPr>
          <w:p>
            <w:r>
              <w:t>Verschlucken</w:t>
            </w:r>
          </w:p>
        </w:tc>
        <w:tc>
          <w:tcPr>
            <w:tcW w:type="dxa" w:w="4320"/>
          </w:tcPr>
          <w:p>
            <w:r>
              <w:t>Nicht zum Erbrechen bringen, sofort Arzt konsultieren.</w:t>
            </w:r>
          </w:p>
        </w:tc>
      </w:tr>
      <w:tr>
        <w:tc>
          <w:tcPr>
            <w:tcW w:type="dxa" w:w="4320"/>
          </w:tcPr>
          <w:p>
            <w:r>
              <w:t>Einatmen (Aerosole)</w:t>
            </w:r>
          </w:p>
        </w:tc>
        <w:tc>
          <w:tcPr>
            <w:tcW w:type="dxa" w:w="4320"/>
          </w:tcPr>
          <w:p>
            <w:r>
              <w:t>An die frische Luft bringen, Atemwege freihalten.</w:t>
            </w:r>
          </w:p>
        </w:tc>
      </w:tr>
    </w:tbl>
    <w:p>
      <w:pPr>
        <w:pStyle w:val="Heading3"/>
      </w:pPr>
      <w:r>
        <w:t>Brandbekaempfung und Lagerung</w:t>
      </w:r>
    </w:p>
    <w:p>
      <w:r>
        <w:t>Geeignete Loeschmittel: Schaum, Loeschpulver, CO2. Wasserstrahl ungeeignet. Lagerung in geschlossenen Originalgebinden, geschuetzt vor Hitze und Zuendquellen, in trockenen Raeumen, Lagerklasse 10 (TRGS 510). Trennlagerung von Oxidationsmitteln.</w:t>
      </w:r>
    </w:p>
    <w:p>
      <w:pPr>
        <w:pStyle w:val="Heading3"/>
      </w:pPr>
      <w:r>
        <w:t>Physikalische und chemische Eigenschaften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Aggregatzustand bei 20°C</w:t>
            </w:r>
          </w:p>
        </w:tc>
        <w:tc>
          <w:tcPr>
            <w:tcW w:type="dxa" w:w="4320"/>
          </w:tcPr>
          <w:p>
            <w:r>
              <w:t>Fluessig</w:t>
            </w:r>
          </w:p>
        </w:tc>
      </w:tr>
      <w:tr>
        <w:tc>
          <w:tcPr>
            <w:tcW w:type="dxa" w:w="4320"/>
          </w:tcPr>
          <w:p>
            <w:r>
              <w:t>Farbe</w:t>
            </w:r>
          </w:p>
        </w:tc>
        <w:tc>
          <w:tcPr>
            <w:tcW w:type="dxa" w:w="4320"/>
          </w:tcPr>
          <w:p>
            <w:r>
              <w:t>Hellgelb</w:t>
            </w:r>
          </w:p>
        </w:tc>
      </w:tr>
      <w:tr>
        <w:tc>
          <w:tcPr>
            <w:tcW w:type="dxa" w:w="4320"/>
          </w:tcPr>
          <w:p>
            <w:r>
              <w:t>Geruch</w:t>
            </w:r>
          </w:p>
        </w:tc>
        <w:tc>
          <w:tcPr>
            <w:tcW w:type="dxa" w:w="4320"/>
          </w:tcPr>
          <w:p>
            <w:r>
              <w:t>Schwach mineraloelartig</w:t>
            </w:r>
          </w:p>
        </w:tc>
      </w:tr>
      <w:tr>
        <w:tc>
          <w:tcPr>
            <w:tcW w:type="dxa" w:w="4320"/>
          </w:tcPr>
          <w:p>
            <w:r>
              <w:t>Dichte (15°C)</w:t>
            </w:r>
          </w:p>
        </w:tc>
        <w:tc>
          <w:tcPr>
            <w:tcW w:type="dxa" w:w="4320"/>
          </w:tcPr>
          <w:p>
            <w:r>
              <w:t>0,876 g/cm3</w:t>
            </w:r>
          </w:p>
        </w:tc>
      </w:tr>
      <w:tr>
        <w:tc>
          <w:tcPr>
            <w:tcW w:type="dxa" w:w="4320"/>
          </w:tcPr>
          <w:p>
            <w:r>
              <w:t>Flammpunkt</w:t>
            </w:r>
          </w:p>
        </w:tc>
        <w:tc>
          <w:tcPr>
            <w:tcW w:type="dxa" w:w="4320"/>
          </w:tcPr>
          <w:p>
            <w:r>
              <w:t>215 °C (COC)</w:t>
            </w:r>
          </w:p>
        </w:tc>
      </w:tr>
      <w:tr>
        <w:tc>
          <w:tcPr>
            <w:tcW w:type="dxa" w:w="4320"/>
          </w:tcPr>
          <w:p>
            <w:r>
              <w:t>Viskositaet (40°C)</w:t>
            </w:r>
          </w:p>
        </w:tc>
        <w:tc>
          <w:tcPr>
            <w:tcW w:type="dxa" w:w="4320"/>
          </w:tcPr>
          <w:p>
            <w:r>
              <w:t>46 mm2/s</w:t>
            </w:r>
          </w:p>
        </w:tc>
      </w:tr>
      <w:tr>
        <w:tc>
          <w:tcPr>
            <w:tcW w:type="dxa" w:w="4320"/>
          </w:tcPr>
          <w:p>
            <w:r>
              <w:t>Wassergefaehrdungsklasse</w:t>
            </w:r>
          </w:p>
        </w:tc>
        <w:tc>
          <w:tcPr>
            <w:tcW w:type="dxa" w:w="4320"/>
          </w:tcPr>
          <w:p>
            <w:r>
              <w:t>WGK 2 (wassergefaehrdend)</w:t>
            </w:r>
          </w:p>
        </w:tc>
      </w:tr>
    </w:tbl>
    <w:p>
      <w:pPr>
        <w:pStyle w:val="Heading3"/>
      </w:pPr>
      <w:r>
        <w:t>Entsorgung und Hinweise</w:t>
      </w:r>
    </w:p>
    <w:p>
      <w:r>
        <w:t>Entsorgung gemaess Abfallschluessel 13 02 05* (Mineraloele) ueber Entsorger Avista Oil AG. Verpackungen vollstaendig entleert dem Recycling zufuehren. SDB-Stand: 02/2024, Version 4; gepflegt durch Markus Junker (BBA). Anwendungsspezifische Risikobeurteilung siehe Gefaehrdungsbeurteilung COMP_Arbeitsschutz.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