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Cloud-Strategie 2024-2026</w:t>
      </w:r>
    </w:p>
    <w:p/>
    <w:p>
      <w:pPr>
        <w:pStyle w:val="Heading3"/>
      </w:pPr>
      <w:r>
        <w:t>Zweck und Geltungsbereich</w:t>
      </w:r>
    </w:p>
    <w:p>
      <w:r>
        <w:t>Die Cloud-Strategie der Halbreiter Maschinenbau GmbH definiert das Zielbild und den Migrationspfad fuer die Cloud-Nutzung in den Jahren 2024 bis 2026. Sie wurde durch die Geschaeftsfuehrung am 14. Januar 2024 verabschiedet.</w:t>
      </w:r>
    </w:p>
    <w:p>
      <w:pPr>
        <w:pStyle w:val="Heading3"/>
      </w:pPr>
      <w:r>
        <w:t>Zielbild (»Cloud Smart«)</w:t>
      </w:r>
    </w:p>
    <w:p>
      <w:pPr>
        <w:pStyle w:val="ListBullet"/>
      </w:pPr>
      <w:r>
        <w:t>»Cloud Smart« anstelle »Cloud First«: pro Anwendung wird situativ entschieden.</w:t>
      </w:r>
    </w:p>
    <w:p>
      <w:pPr>
        <w:pStyle w:val="ListBullet"/>
      </w:pPr>
      <w:r>
        <w:t>Multi-Cloud bevorzugt: Azure (M365 + IaaS DACH), Salesforce (CRM/Service), SAP (S/4-Hyperscaler ab 2026 evaluierend).</w:t>
      </w:r>
    </w:p>
    <w:p>
      <w:pPr>
        <w:pStyle w:val="ListBullet"/>
      </w:pPr>
      <w:r>
        <w:t>On-Premise bleibt fuer Produktions-OT, Engineering-Daten (PDM) und sensible IP.</w:t>
      </w:r>
    </w:p>
    <w:p>
      <w:pPr>
        <w:pStyle w:val="ListBullet"/>
      </w:pPr>
      <w:r>
        <w:t>Verschluesselung: Kundenschluessel (BYOK) wo verfuegbar.</w:t>
      </w:r>
    </w:p>
    <w:p>
      <w:pPr>
        <w:pStyle w:val="Heading3"/>
      </w:pPr>
      <w:r>
        <w:t>Migrationsroadmap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Zeitraum</w:t>
            </w:r>
          </w:p>
        </w:tc>
        <w:tc>
          <w:tcPr>
            <w:tcW w:type="dxa" w:w="2880"/>
          </w:tcPr>
          <w:p>
            <w:r>
              <w:t>Massnahme</w:t>
            </w:r>
          </w:p>
        </w:tc>
      </w:tr>
      <w:tr>
        <w:tc>
          <w:tcPr>
            <w:tcW w:type="dxa" w:w="2880"/>
          </w:tcPr>
          <w:p>
            <w:r>
              <w:t>1. Foundation</w:t>
            </w:r>
          </w:p>
        </w:tc>
        <w:tc>
          <w:tcPr>
            <w:tcW w:type="dxa" w:w="2880"/>
          </w:tcPr>
          <w:p>
            <w:r>
              <w:t>Q1-Q2/2024</w:t>
            </w:r>
          </w:p>
        </w:tc>
        <w:tc>
          <w:tcPr>
            <w:tcW w:type="dxa" w:w="2880"/>
          </w:tcPr>
          <w:p>
            <w:r>
              <w:t>Azure Landing Zone, Conditional Access, Defender for Cloud</w:t>
            </w:r>
          </w:p>
        </w:tc>
      </w:tr>
      <w:tr>
        <w:tc>
          <w:tcPr>
            <w:tcW w:type="dxa" w:w="2880"/>
          </w:tcPr>
          <w:p>
            <w:r>
              <w:t>2. Produktivitaet</w:t>
            </w:r>
          </w:p>
        </w:tc>
        <w:tc>
          <w:tcPr>
            <w:tcW w:type="dxa" w:w="2880"/>
          </w:tcPr>
          <w:p>
            <w:r>
              <w:t>Q2-Q3/2024</w:t>
            </w:r>
          </w:p>
        </w:tc>
        <w:tc>
          <w:tcPr>
            <w:tcW w:type="dxa" w:w="2880"/>
          </w:tcPr>
          <w:p>
            <w:r>
              <w:t>Vollmigration M365 E5 (inkl. Defender, Purview)</w:t>
            </w:r>
          </w:p>
        </w:tc>
      </w:tr>
      <w:tr>
        <w:tc>
          <w:tcPr>
            <w:tcW w:type="dxa" w:w="2880"/>
          </w:tcPr>
          <w:p>
            <w:r>
              <w:t>3. Branch &amp; DR</w:t>
            </w:r>
          </w:p>
        </w:tc>
        <w:tc>
          <w:tcPr>
            <w:tcW w:type="dxa" w:w="2880"/>
          </w:tcPr>
          <w:p>
            <w:r>
              <w:t>Q3-Q4/2024</w:t>
            </w:r>
          </w:p>
        </w:tc>
        <w:tc>
          <w:tcPr>
            <w:tcW w:type="dxa" w:w="2880"/>
          </w:tcPr>
          <w:p>
            <w:r>
              <w:t>Azure VPN, DR-Lite fuer SAP via ASR</w:t>
            </w:r>
          </w:p>
        </w:tc>
      </w:tr>
      <w:tr>
        <w:tc>
          <w:tcPr>
            <w:tcW w:type="dxa" w:w="2880"/>
          </w:tcPr>
          <w:p>
            <w:r>
              <w:t>4. SAP Roadmap</w:t>
            </w:r>
          </w:p>
        </w:tc>
        <w:tc>
          <w:tcPr>
            <w:tcW w:type="dxa" w:w="2880"/>
          </w:tcPr>
          <w:p>
            <w:r>
              <w:t>2025-2026</w:t>
            </w:r>
          </w:p>
        </w:tc>
        <w:tc>
          <w:tcPr>
            <w:tcW w:type="dxa" w:w="2880"/>
          </w:tcPr>
          <w:p>
            <w:r>
              <w:t>Rise with SAP Optionspruefung mit BDO</w:t>
            </w:r>
          </w:p>
        </w:tc>
      </w:tr>
      <w:tr>
        <w:tc>
          <w:tcPr>
            <w:tcW w:type="dxa" w:w="2880"/>
          </w:tcPr>
          <w:p>
            <w:r>
              <w:t>5. Datenarchitektur</w:t>
            </w:r>
          </w:p>
        </w:tc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Data Fabric Pilot (Synapse / Fabric)</w:t>
            </w:r>
          </w:p>
        </w:tc>
      </w:tr>
    </w:tbl>
    <w:p>
      <w:pPr>
        <w:pStyle w:val="Heading3"/>
      </w:pPr>
      <w:r>
        <w:t>Governance</w:t>
      </w:r>
    </w:p>
    <w:p>
      <w:pPr>
        <w:pStyle w:val="ListBullet"/>
      </w:pPr>
      <w:r>
        <w:t>Cloud Center of Excellence (CCoE) ab Q2/2024 (Holger Brinkmann + 2 Architekten).</w:t>
      </w:r>
    </w:p>
    <w:p>
      <w:pPr>
        <w:pStyle w:val="ListBullet"/>
      </w:pPr>
      <w:r>
        <w:t>Policies: Naming, Tagging, Cost Mgmt, FinOps-Reporting monatlich.</w:t>
      </w:r>
    </w:p>
    <w:p>
      <w:pPr>
        <w:pStyle w:val="ListBullet"/>
      </w:pPr>
      <w:r>
        <w:t>Sicherheitskontrollen: ISO/IEC 27017 + 27018 als Referenz.</w:t>
      </w:r>
    </w:p>
    <w:p>
      <w:pPr>
        <w:pStyle w:val="ListBullet"/>
      </w:pPr>
      <w:r>
        <w:t>Datenklassifikation: Microsoft Purview (4 Klassen) verbindlich.</w:t>
      </w:r>
    </w:p>
    <w:p>
      <w:pPr>
        <w:pStyle w:val="Heading3"/>
      </w:pPr>
      <w:r>
        <w:t>Budget</w:t>
      </w:r>
    </w:p>
    <w:p>
      <w:r>
        <w:t>Investitionsplanung 2024: 280 TEUR (CapEx) + 420 TEUR (OpEx). Konsolidierte Cost-Optimierung in 2025 (Ziel: -10 % Run-Kosten Identity/M365).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