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IT-Notfallhandbuch (BCM)</w:t>
      </w:r>
    </w:p>
    <w:p/>
    <w:p>
      <w:pPr>
        <w:pStyle w:val="Heading3"/>
      </w:pPr>
      <w:r>
        <w:t>Zweck und Geltungsbereich</w:t>
      </w:r>
    </w:p>
    <w:p>
      <w:r>
        <w:t>Das IT-Notfallhandbuch konsolidiert die Vorgehensweisen bei Sicherheitsvorfaellen und Ausfaellen der IT-Systeme der Halbreiter Maschinenbau GmbH gemaess BSI-Standard 200-4 (Business Continuity Management). Es ergaenzt den Notfallplan Produktionsausfall (Ordner 09) sowie den DRP (10_IT).</w:t>
      </w:r>
    </w:p>
    <w:p>
      <w:pPr>
        <w:pStyle w:val="Heading3"/>
      </w:pPr>
      <w:r>
        <w:t>Vorfallklassen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Klasse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Reaktionszeit</w:t>
            </w:r>
          </w:p>
        </w:tc>
      </w:tr>
      <w:tr>
        <w:tc>
          <w:tcPr>
            <w:tcW w:type="dxa" w:w="2880"/>
          </w:tcPr>
          <w:p>
            <w:r>
              <w:t>1 – kritisch</w:t>
            </w:r>
          </w:p>
        </w:tc>
        <w:tc>
          <w:tcPr>
            <w:tcW w:type="dxa" w:w="2880"/>
          </w:tcPr>
          <w:p>
            <w:r>
              <w:t>Komplettausfall ERP oder Werkstattnetz</w:t>
            </w:r>
          </w:p>
        </w:tc>
        <w:tc>
          <w:tcPr>
            <w:tcW w:type="dxa" w:w="2880"/>
          </w:tcPr>
          <w:p>
            <w:r>
              <w:t>&lt; 30 min</w:t>
            </w:r>
          </w:p>
        </w:tc>
      </w:tr>
      <w:tr>
        <w:tc>
          <w:tcPr>
            <w:tcW w:type="dxa" w:w="2880"/>
          </w:tcPr>
          <w:p>
            <w:r>
              <w:t>2 – hoch</w:t>
            </w:r>
          </w:p>
        </w:tc>
        <w:tc>
          <w:tcPr>
            <w:tcW w:type="dxa" w:w="2880"/>
          </w:tcPr>
          <w:p>
            <w:r>
              <w:t>Ausfall Einzelanwendung mit hoher Wirkung</w:t>
            </w:r>
          </w:p>
        </w:tc>
        <w:tc>
          <w:tcPr>
            <w:tcW w:type="dxa" w:w="2880"/>
          </w:tcPr>
          <w:p>
            <w:r>
              <w:t>&lt; 2 h</w:t>
            </w:r>
          </w:p>
        </w:tc>
      </w:tr>
      <w:tr>
        <w:tc>
          <w:tcPr>
            <w:tcW w:type="dxa" w:w="2880"/>
          </w:tcPr>
          <w:p>
            <w:r>
              <w:t>3 – mittel</w:t>
            </w:r>
          </w:p>
        </w:tc>
        <w:tc>
          <w:tcPr>
            <w:tcW w:type="dxa" w:w="2880"/>
          </w:tcPr>
          <w:p>
            <w:r>
              <w:t>Funktionseinschraenkung</w:t>
            </w:r>
          </w:p>
        </w:tc>
        <w:tc>
          <w:tcPr>
            <w:tcW w:type="dxa" w:w="2880"/>
          </w:tcPr>
          <w:p>
            <w:r>
              <w:t>&lt; 8 h</w:t>
            </w:r>
          </w:p>
        </w:tc>
      </w:tr>
      <w:tr>
        <w:tc>
          <w:tcPr>
            <w:tcW w:type="dxa" w:w="2880"/>
          </w:tcPr>
          <w:p>
            <w:r>
              <w:t>4 – niedrig</w:t>
            </w:r>
          </w:p>
        </w:tc>
        <w:tc>
          <w:tcPr>
            <w:tcW w:type="dxa" w:w="2880"/>
          </w:tcPr>
          <w:p>
            <w:r>
              <w:t>Routine-Fehler ohne Geschaeftsstoerung</w:t>
            </w:r>
          </w:p>
        </w:tc>
        <w:tc>
          <w:tcPr>
            <w:tcW w:type="dxa" w:w="2880"/>
          </w:tcPr>
          <w:p>
            <w:r>
              <w:t>SLA Std.</w:t>
            </w:r>
          </w:p>
        </w:tc>
      </w:tr>
    </w:tbl>
    <w:p>
      <w:pPr>
        <w:pStyle w:val="Heading3"/>
      </w:pPr>
      <w:r>
        <w:t>Rollen und Verantwortung</w:t>
      </w:r>
    </w:p>
    <w:p>
      <w:pPr>
        <w:pStyle w:val="ListBullet"/>
      </w:pPr>
      <w:r>
        <w:t>IT-Leitung (Holger Brinkmann): Krisenstab-Vorsitz IT.</w:t>
      </w:r>
    </w:p>
    <w:p>
      <w:pPr>
        <w:pStyle w:val="ListBullet"/>
      </w:pPr>
      <w:r>
        <w:t>SOC / Security (Jens Decker, Stv. extern SECUINFRA): Erstanalyse, Forensik-Triage.</w:t>
      </w:r>
    </w:p>
    <w:p>
      <w:pPr>
        <w:pStyle w:val="ListBullet"/>
      </w:pPr>
      <w:r>
        <w:t>Anwendungsteam (Dr. Marius Pohl): SAP-/Salesforce-Spezifika.</w:t>
      </w:r>
    </w:p>
    <w:p>
      <w:pPr>
        <w:pStyle w:val="ListBullet"/>
      </w:pPr>
      <w:r>
        <w:t>Infrastruktur (Andreas Klein): Netz/Hardware/Backup.</w:t>
      </w:r>
    </w:p>
    <w:p>
      <w:pPr>
        <w:pStyle w:val="ListBullet"/>
      </w:pPr>
      <w:r>
        <w:t>HR (Petra Hartmann): Kommunikation an Mitarbeiter.</w:t>
      </w:r>
    </w:p>
    <w:p>
      <w:pPr>
        <w:pStyle w:val="Heading3"/>
      </w:pPr>
      <w:r>
        <w:t>Standardprozesse</w:t>
      </w:r>
    </w:p>
    <w:p>
      <w:pPr>
        <w:pStyle w:val="ListBullet"/>
      </w:pPr>
      <w:r>
        <w:t>Detection: SOC-Alert, Helpdesk-Eskalation, Anomalie-Erkennung.</w:t>
      </w:r>
    </w:p>
    <w:p>
      <w:pPr>
        <w:pStyle w:val="ListBullet"/>
      </w:pPr>
      <w:r>
        <w:t>Containment: Netzsegmentierung, betroffene Accounts disablen.</w:t>
      </w:r>
    </w:p>
    <w:p>
      <w:pPr>
        <w:pStyle w:val="ListBullet"/>
      </w:pPr>
      <w:r>
        <w:t>Eradication: Forensische Untersuchung, Patchen, Wiederaufsetzen.</w:t>
      </w:r>
    </w:p>
    <w:p>
      <w:pPr>
        <w:pStyle w:val="ListBullet"/>
      </w:pPr>
      <w:r>
        <w:t>Recovery: Restore aus Backup, Validierung, Wiederinbetriebnahme.</w:t>
      </w:r>
    </w:p>
    <w:p>
      <w:pPr>
        <w:pStyle w:val="ListBullet"/>
      </w:pPr>
      <w:r>
        <w:t>Post-Incident-Review: schriftliches Lessons-Learned binnen 14 Tagen.</w:t>
      </w:r>
    </w:p>
    <w:p>
      <w:pPr>
        <w:pStyle w:val="Heading3"/>
      </w:pPr>
      <w:r>
        <w:t>Uebungen</w:t>
      </w:r>
    </w:p>
    <w:p>
      <w:r>
        <w:t>Tabletop-Uebung mindestens jaehrlich (zuletzt 14.10.2023). Naechste Uebung: 06/2024 Szenario »Insider-Threat / Daten-Exfiltration«.</w:t>
      </w:r>
    </w:p>
    <w:p>
      <w:pPr>
        <w:pStyle w:val="Heading3"/>
      </w:pPr>
      <w:r>
        <w:t>Verantwortlichkeit, Pflege und Schnittstellen</w:t>
      </w:r>
    </w:p>
    <w:p>
      <w:r>
        <w:t>IT-Leitung: Holger Brinkmann (h.brinkmann@halbreiter-maschinenbau.de). Stellvertretung: Andreas Klein (Infrastruktur). Pflege dieses Dokumentes erfolgt mindestens jaehrlich oder anlassbezogen bei wesentlichen Aenderungen der IT-Landschaft, der regulatorischen Anforderungen oder der Geschaeftsprozesse. Freigabe durch die Geschaeftsfuehrung (Klaus Mueller, CEO). Schnittstellen bestehen zum ISMS-Rahmenwerk (Richtlinie COMP_007), zum Notfallplan Produktionsausfall (Ordner 09) sowie zum Risikomanagement (Risikoregister Ordner 09). Verteiler: Geschaeftsfuehrung, Bereichsleiter IT, Bereichsleiter Compliance, Betriebsrat, Datenschutzbeauftragter. Archivierung im DMS (M-Files) gemaess Aufbewahrungsfristenkatalog der Halbreiter Maschinenbau GmbH. Rueckfragen zu Inhalt oder Anwendung an it-support@halbreiter-maschinenbau.de.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