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IT-Sicherheitskonzept 2024</w:t>
      </w:r>
    </w:p>
    <w:p/>
    <w:p>
      <w:pPr>
        <w:pStyle w:val="Heading3"/>
      </w:pPr>
      <w:r>
        <w:t>Zweck und Geltungsbereich</w:t>
      </w:r>
    </w:p>
    <w:p>
      <w:r>
        <w:t>Das IT-Sicherheitskonzept beschreibt das Schutzniveau, die Massnahmen und die Verantwortlichkeiten fuer die Informationssicherheit der Halbreiter Maschinenbau GmbH. Es ist Teil des ISMS-Rahmenwerkes und orientiert sich an ISO/IEC 27001:2022 sowie an den BSI-Grundschutz-Bausteinen.</w:t>
      </w:r>
    </w:p>
    <w:p>
      <w:pPr>
        <w:pStyle w:val="Heading3"/>
      </w:pPr>
      <w:r>
        <w:t>Schutzbedarf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Kategorie</w:t>
            </w:r>
          </w:p>
        </w:tc>
        <w:tc>
          <w:tcPr>
            <w:tcW w:type="dxa" w:w="2160"/>
          </w:tcPr>
          <w:p>
            <w:r>
              <w:t>Vertraulichkeit</w:t>
            </w:r>
          </w:p>
        </w:tc>
        <w:tc>
          <w:tcPr>
            <w:tcW w:type="dxa" w:w="2160"/>
          </w:tcPr>
          <w:p>
            <w:r>
              <w:t>Integritaet</w:t>
            </w:r>
          </w:p>
        </w:tc>
        <w:tc>
          <w:tcPr>
            <w:tcW w:type="dxa" w:w="2160"/>
          </w:tcPr>
          <w:p>
            <w:r>
              <w:t>Verfuegbarkeit</w:t>
            </w:r>
          </w:p>
        </w:tc>
      </w:tr>
      <w:tr>
        <w:tc>
          <w:tcPr>
            <w:tcW w:type="dxa" w:w="2160"/>
          </w:tcPr>
          <w:p>
            <w:r>
              <w:t>SAP ERP / Finance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sehr hoch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</w:tr>
      <w:tr>
        <w:tc>
          <w:tcPr>
            <w:tcW w:type="dxa" w:w="2160"/>
          </w:tcPr>
          <w:p>
            <w:r>
              <w:t>CAD / PDM Engineering</w:t>
            </w:r>
          </w:p>
        </w:tc>
        <w:tc>
          <w:tcPr>
            <w:tcW w:type="dxa" w:w="2160"/>
          </w:tcPr>
          <w:p>
            <w:r>
              <w:t>sehr hoch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</w:tr>
      <w:tr>
        <w:tc>
          <w:tcPr>
            <w:tcW w:type="dxa" w:w="2160"/>
          </w:tcPr>
          <w:p>
            <w:r>
              <w:t>Werkstattnetz (OT)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sehr hoch</w:t>
            </w:r>
          </w:p>
        </w:tc>
        <w:tc>
          <w:tcPr>
            <w:tcW w:type="dxa" w:w="2160"/>
          </w:tcPr>
          <w:p>
            <w:r>
              <w:t>sehr hoch</w:t>
            </w:r>
          </w:p>
        </w:tc>
      </w:tr>
      <w:tr>
        <w:tc>
          <w:tcPr>
            <w:tcW w:type="dxa" w:w="2160"/>
          </w:tcPr>
          <w:p>
            <w:r>
              <w:t>E-Mail / M365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</w:tr>
      <w:tr>
        <w:tc>
          <w:tcPr>
            <w:tcW w:type="dxa" w:w="2160"/>
          </w:tcPr>
          <w:p>
            <w:r>
              <w:t>Salesforce (Kundendaten)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</w:tr>
    </w:tbl>
    <w:p>
      <w:pPr>
        <w:pStyle w:val="Heading3"/>
      </w:pPr>
      <w:r>
        <w:t>Kontrollen</w:t>
      </w:r>
    </w:p>
    <w:p>
      <w:pPr>
        <w:pStyle w:val="ListBullet"/>
      </w:pPr>
      <w:r>
        <w:t>Identity: Azure AD, Conditional Access, MFA Pflicht.</w:t>
      </w:r>
    </w:p>
    <w:p>
      <w:pPr>
        <w:pStyle w:val="ListBullet"/>
      </w:pPr>
      <w:r>
        <w:t>Endpoint: Microsoft Defender for Endpoint + EDR (Defender XDR).</w:t>
      </w:r>
    </w:p>
    <w:p>
      <w:pPr>
        <w:pStyle w:val="ListBullet"/>
      </w:pPr>
      <w:r>
        <w:t>Netz: Segmentierung IT/OT (Firewall Fortinet), DMZ fuer Remote Service.</w:t>
      </w:r>
    </w:p>
    <w:p>
      <w:pPr>
        <w:pStyle w:val="ListBullet"/>
      </w:pPr>
      <w:r>
        <w:t>Daten: BitLocker, Purview-Klassifizierung, DLP-Policies.</w:t>
      </w:r>
    </w:p>
    <w:p>
      <w:pPr>
        <w:pStyle w:val="ListBullet"/>
      </w:pPr>
      <w:r>
        <w:t>Logging: Sentinel SIEM mit 1-Jahres-Retention, Anbindung an SECUINFRA-SOC.</w:t>
      </w:r>
    </w:p>
    <w:p>
      <w:pPr>
        <w:pStyle w:val="Heading3"/>
      </w:pPr>
      <w:r>
        <w:t>Awareness und Schulung</w:t>
      </w:r>
    </w:p>
    <w:p>
      <w:r>
        <w:t>Verpflichtende eLearning-Module (Phishing, Passwort, Datenschutz). Jaehrliche Phishing-Tests (zuletzt 03/2024: Klickquote 6,8 %, Ziel &lt; 5 %). Spezialschulungen Engineering (CAD-IP-Schutz) halbjaehrlich.</w:t>
      </w:r>
    </w:p>
    <w:p>
      <w:pPr>
        <w:pStyle w:val="Heading3"/>
      </w:pPr>
      <w:r>
        <w:t>Roadmap 2024</w:t>
      </w:r>
    </w:p>
    <w:p>
      <w:pPr>
        <w:pStyle w:val="ListBullet"/>
      </w:pPr>
      <w:r>
        <w:t>ISO 27001-Zertifizierung Vorpruefung Q4/2024 (Audit-Partner DEKRA).</w:t>
      </w:r>
    </w:p>
    <w:p>
      <w:pPr>
        <w:pStyle w:val="ListBullet"/>
      </w:pPr>
      <w:r>
        <w:t>Erweiterung SOC-Service auf 24/7 ab Q2/2024 (SECUINFRA).</w:t>
      </w:r>
    </w:p>
    <w:p>
      <w:pPr>
        <w:pStyle w:val="ListBullet"/>
      </w:pPr>
      <w:r>
        <w:t>Rollout PAM (CyberArk Privilege Cloud) Q3/2024.</w:t>
      </w:r>
    </w:p>
    <w:p>
      <w:pPr>
        <w:pStyle w:val="ListBullet"/>
      </w:pPr>
      <w:r>
        <w:t>Network Access Control (NAC) Q4/2024.</w:t>
      </w:r>
    </w:p>
    <w:p>
      <w:pPr>
        <w:pStyle w:val="Heading3"/>
      </w:pPr>
      <w:r>
        <w:t>Verantwortlichkeit, Pflege und Schnittstellen</w:t>
      </w:r>
    </w:p>
    <w:p>
      <w:r>
        <w:t>IT-Leitung: Holger Brinkmann (h.brinkmann@halbreiter-maschinenbau.de). Stellvertretung: Andreas Klein (Infrastruktur). Pflege dieses Dokumentes erfolgt mindestens jaehrlich oder anlassbezogen bei wesentlichen Aenderungen der IT-Landschaft, der regulatorischen Anforderungen oder der Geschaeftsprozesse. Freigabe durch die Geschaeftsfuehrung (Klaus Mueller, CEO). Schnittstellen bestehen zum ISMS-Rahmenwerk (Richtlinie COMP_007), zum Notfallplan Produktionsausfall (Ordner 09) sowie zum Risikomanagement (Risikoregister Ordner 09). Verteiler: Geschaeftsfuehrung, Bereichsleiter IT, Bereichsleiter Compliance, Betriebsrat, Datenschutzbeauftragter. Archivierung im DMS (M-Files) gemaess Aufbewahrungsfristenkatalog der Halbreiter Maschinenbau GmbH. Rueckfragen zu Inhalt oder Anwendung an it-support@halbreiter-maschinenbau.de.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