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Netzwerkdokumentation 2024</w:t>
      </w:r>
    </w:p>
    <w:p/>
    <w:p>
      <w:pPr>
        <w:pStyle w:val="Heading3"/>
      </w:pPr>
      <w:r>
        <w:t>Zweck und Geltungsbereich</w:t>
      </w:r>
    </w:p>
    <w:p>
      <w:r>
        <w:t>Die Netzwerkdokumentation beschreibt die IT- und OT-Netzwerkarchitektur der Halbreiter Maschinenbau GmbH am Standort Industriestrasse 12, Koeln. Sie wird zusaetzlich detailliert im Network-Management-System (Auvik) gefuehrt; das vorliegende Dokument fasst die Zielarchitektur zusammen.</w:t>
      </w:r>
    </w:p>
    <w:p>
      <w:pPr>
        <w:pStyle w:val="Heading3"/>
      </w:pPr>
      <w:r>
        <w:t>Standorte und WAN</w:t>
      </w:r>
    </w:p>
    <w:p>
      <w:pPr>
        <w:pStyle w:val="ListBullet"/>
      </w:pPr>
      <w:r>
        <w:t>Hauptstandort Industriestrasse 12, Koeln: 2x Glasfaser 1 Gbit/s (NetCologne + Telekom Business).</w:t>
      </w:r>
    </w:p>
    <w:p>
      <w:pPr>
        <w:pStyle w:val="ListBullet"/>
      </w:pPr>
      <w:r>
        <w:t>Aussenlager Niehler Strasse 88: 1x Glasfaser 200 Mbit/s + LTE-Backup.</w:t>
      </w:r>
    </w:p>
    <w:p>
      <w:pPr>
        <w:pStyle w:val="ListBullet"/>
      </w:pPr>
      <w:r>
        <w:t>Cloud-Anbindung: 2x ExpressRoute 1 Gbit/s zu Azure (Equinix FR8 / FR6).</w:t>
      </w:r>
    </w:p>
    <w:p>
      <w:pPr>
        <w:pStyle w:val="Heading3"/>
      </w:pPr>
      <w:r>
        <w:t>Segmentierung (VLAN/Subnets)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VLAN</w:t>
            </w:r>
          </w:p>
        </w:tc>
        <w:tc>
          <w:tcPr>
            <w:tcW w:type="dxa" w:w="2160"/>
          </w:tcPr>
          <w:p>
            <w:r>
              <w:t>Zweck</w:t>
            </w:r>
          </w:p>
        </w:tc>
        <w:tc>
          <w:tcPr>
            <w:tcW w:type="dxa" w:w="2160"/>
          </w:tcPr>
          <w:p>
            <w:r>
              <w:t>Subnet</w:t>
            </w:r>
          </w:p>
        </w:tc>
        <w:tc>
          <w:tcPr>
            <w:tcW w:type="dxa" w:w="2160"/>
          </w:tcPr>
          <w:p>
            <w:r>
              <w:t>Firewall-Zone</w:t>
            </w:r>
          </w:p>
        </w:tc>
      </w:tr>
      <w:tr>
        <w:tc>
          <w:tcPr>
            <w:tcW w:type="dxa" w:w="2160"/>
          </w:tcPr>
          <w:p>
            <w:r>
              <w:t xml:space="preserve">10 </w:t>
            </w:r>
          </w:p>
        </w:tc>
        <w:tc>
          <w:tcPr>
            <w:tcW w:type="dxa" w:w="2160"/>
          </w:tcPr>
          <w:p>
            <w:r>
              <w:t>Server (DC, SAP, AD)</w:t>
            </w:r>
          </w:p>
        </w:tc>
        <w:tc>
          <w:tcPr>
            <w:tcW w:type="dxa" w:w="2160"/>
          </w:tcPr>
          <w:p>
            <w:r>
              <w:t>10.10.10.0/24</w:t>
            </w:r>
          </w:p>
        </w:tc>
        <w:tc>
          <w:tcPr>
            <w:tcW w:type="dxa" w:w="2160"/>
          </w:tcPr>
          <w:p>
            <w:r>
              <w:t>TRUST</w:t>
            </w:r>
          </w:p>
        </w:tc>
      </w:tr>
      <w:tr>
        <w:tc>
          <w:tcPr>
            <w:tcW w:type="dxa" w:w="2160"/>
          </w:tcPr>
          <w:p>
            <w:r>
              <w:t xml:space="preserve">20 </w:t>
            </w:r>
          </w:p>
        </w:tc>
        <w:tc>
          <w:tcPr>
            <w:tcW w:type="dxa" w:w="2160"/>
          </w:tcPr>
          <w:p>
            <w:r>
              <w:t>Clients Buero</w:t>
            </w:r>
          </w:p>
        </w:tc>
        <w:tc>
          <w:tcPr>
            <w:tcW w:type="dxa" w:w="2160"/>
          </w:tcPr>
          <w:p>
            <w:r>
              <w:t>10.10.20.0/22</w:t>
            </w:r>
          </w:p>
        </w:tc>
        <w:tc>
          <w:tcPr>
            <w:tcW w:type="dxa" w:w="2160"/>
          </w:tcPr>
          <w:p>
            <w:r>
              <w:t>TRUST</w:t>
            </w:r>
          </w:p>
        </w:tc>
      </w:tr>
      <w:tr>
        <w:tc>
          <w:tcPr>
            <w:tcW w:type="dxa" w:w="2160"/>
          </w:tcPr>
          <w:p>
            <w:r>
              <w:t xml:space="preserve">30 </w:t>
            </w:r>
          </w:p>
        </w:tc>
        <w:tc>
          <w:tcPr>
            <w:tcW w:type="dxa" w:w="2160"/>
          </w:tcPr>
          <w:p>
            <w:r>
              <w:t>OT Halle A (CNC, Pressen)</w:t>
            </w:r>
          </w:p>
        </w:tc>
        <w:tc>
          <w:tcPr>
            <w:tcW w:type="dxa" w:w="2160"/>
          </w:tcPr>
          <w:p>
            <w:r>
              <w:t>10.10.30.0/24</w:t>
            </w:r>
          </w:p>
        </w:tc>
        <w:tc>
          <w:tcPr>
            <w:tcW w:type="dxa" w:w="2160"/>
          </w:tcPr>
          <w:p>
            <w:r>
              <w:t>OT-A</w:t>
            </w:r>
          </w:p>
        </w:tc>
      </w:tr>
      <w:tr>
        <w:tc>
          <w:tcPr>
            <w:tcW w:type="dxa" w:w="2160"/>
          </w:tcPr>
          <w:p>
            <w:r>
              <w:t xml:space="preserve">31 </w:t>
            </w:r>
          </w:p>
        </w:tc>
        <w:tc>
          <w:tcPr>
            <w:tcW w:type="dxa" w:w="2160"/>
          </w:tcPr>
          <w:p>
            <w:r>
              <w:t>OT Halle B (Laser, FB)</w:t>
            </w:r>
          </w:p>
        </w:tc>
        <w:tc>
          <w:tcPr>
            <w:tcW w:type="dxa" w:w="2160"/>
          </w:tcPr>
          <w:p>
            <w:r>
              <w:t>10.10.31.0/24</w:t>
            </w:r>
          </w:p>
        </w:tc>
        <w:tc>
          <w:tcPr>
            <w:tcW w:type="dxa" w:w="2160"/>
          </w:tcPr>
          <w:p>
            <w:r>
              <w:t>OT-B</w:t>
            </w:r>
          </w:p>
        </w:tc>
      </w:tr>
      <w:tr>
        <w:tc>
          <w:tcPr>
            <w:tcW w:type="dxa" w:w="2160"/>
          </w:tcPr>
          <w:p>
            <w:r>
              <w:t xml:space="preserve">40 </w:t>
            </w:r>
          </w:p>
        </w:tc>
        <w:tc>
          <w:tcPr>
            <w:tcW w:type="dxa" w:w="2160"/>
          </w:tcPr>
          <w:p>
            <w:r>
              <w:t>WLAN Gaeste</w:t>
            </w:r>
          </w:p>
        </w:tc>
        <w:tc>
          <w:tcPr>
            <w:tcW w:type="dxa" w:w="2160"/>
          </w:tcPr>
          <w:p>
            <w:r>
              <w:t>10.10.40.0/23</w:t>
            </w:r>
          </w:p>
        </w:tc>
        <w:tc>
          <w:tcPr>
            <w:tcW w:type="dxa" w:w="2160"/>
          </w:tcPr>
          <w:p>
            <w:r>
              <w:t>GUEST</w:t>
            </w:r>
          </w:p>
        </w:tc>
      </w:tr>
      <w:tr>
        <w:tc>
          <w:tcPr>
            <w:tcW w:type="dxa" w:w="2160"/>
          </w:tcPr>
          <w:p>
            <w:r>
              <w:t xml:space="preserve">50 </w:t>
            </w:r>
          </w:p>
        </w:tc>
        <w:tc>
          <w:tcPr>
            <w:tcW w:type="dxa" w:w="2160"/>
          </w:tcPr>
          <w:p>
            <w:r>
              <w:t>VPN-User Remote</w:t>
            </w:r>
          </w:p>
        </w:tc>
        <w:tc>
          <w:tcPr>
            <w:tcW w:type="dxa" w:w="2160"/>
          </w:tcPr>
          <w:p>
            <w:r>
              <w:t>10.10.50.0/24</w:t>
            </w:r>
          </w:p>
        </w:tc>
        <w:tc>
          <w:tcPr>
            <w:tcW w:type="dxa" w:w="2160"/>
          </w:tcPr>
          <w:p>
            <w:r>
              <w:t>VPN</w:t>
            </w:r>
          </w:p>
        </w:tc>
      </w:tr>
      <w:tr>
        <w:tc>
          <w:tcPr>
            <w:tcW w:type="dxa" w:w="2160"/>
          </w:tcPr>
          <w:p>
            <w:r>
              <w:t xml:space="preserve">99 </w:t>
            </w:r>
          </w:p>
        </w:tc>
        <w:tc>
          <w:tcPr>
            <w:tcW w:type="dxa" w:w="2160"/>
          </w:tcPr>
          <w:p>
            <w:r>
              <w:t>DMZ (Web, Service)</w:t>
            </w:r>
          </w:p>
        </w:tc>
        <w:tc>
          <w:tcPr>
            <w:tcW w:type="dxa" w:w="2160"/>
          </w:tcPr>
          <w:p>
            <w:r>
              <w:t>10.10.99.0/24</w:t>
            </w:r>
          </w:p>
        </w:tc>
        <w:tc>
          <w:tcPr>
            <w:tcW w:type="dxa" w:w="2160"/>
          </w:tcPr>
          <w:p>
            <w:r>
              <w:t>DMZ</w:t>
            </w:r>
          </w:p>
        </w:tc>
      </w:tr>
    </w:tbl>
    <w:p>
      <w:pPr>
        <w:pStyle w:val="Heading3"/>
      </w:pPr>
      <w:r>
        <w:t>Komponenten</w:t>
      </w:r>
    </w:p>
    <w:p>
      <w:pPr>
        <w:pStyle w:val="ListBullet"/>
      </w:pPr>
      <w:r>
        <w:t>Firewalls: Fortinet 600F (HA-Cluster), 2x; Fortinet 100F fuer Aussenlager.</w:t>
      </w:r>
    </w:p>
    <w:p>
      <w:pPr>
        <w:pStyle w:val="ListBullet"/>
      </w:pPr>
      <w:r>
        <w:t>Switching: Cisco Catalyst 9300 Core (Stack), Catalyst 9200 Access.</w:t>
      </w:r>
    </w:p>
    <w:p>
      <w:pPr>
        <w:pStyle w:val="ListBullet"/>
      </w:pPr>
      <w:r>
        <w:t>WLAN: Cisco Catalyst 9100 (28 APs Wi-Fi 6).</w:t>
      </w:r>
    </w:p>
    <w:p>
      <w:pPr>
        <w:pStyle w:val="ListBullet"/>
      </w:pPr>
      <w:r>
        <w:t>DNS/DHCP: Infoblox vNIOS.</w:t>
      </w:r>
    </w:p>
    <w:p>
      <w:pPr>
        <w:pStyle w:val="Heading3"/>
      </w:pPr>
      <w:r>
        <w:t>Pflege</w:t>
      </w:r>
    </w:p>
    <w:p>
      <w:r>
        <w:t>Topologie-Aktualisierung jaehrlich; Auvik-Discovery automatisch. Letzte Aktualisierung 22.01.2024.</w:t>
      </w:r>
    </w:p>
    <w:p>
      <w:pPr>
        <w:pStyle w:val="Heading3"/>
      </w:pPr>
      <w:r>
        <w:t>Verantwortlichkeit, Pflege und Schnittstellen</w:t>
      </w:r>
    </w:p>
    <w:p>
      <w:r>
        <w:t>IT-Leitung: Holger Brinkmann (h.brinkmann@halbreiter-maschinenbau.de). Stellvertretung: Andreas Klein (Infrastruktur). Pflege dieses Dokumentes erfolgt mindestens jaehrlich oder anlassbezogen bei wesentlichen Aenderungen der IT-Landschaft, der regulatorischen Anforderungen oder der Geschaeftsprozesse. Freigabe durch die Geschaeftsfuehrung (Klaus Mueller, CEO). Schnittstellen bestehen zum ISMS-Rahmenwerk (Richtlinie COMP_007), zum Notfallplan Produktionsausfall (Ordner 09) sowie zum Risikomanagement (Risikoregister Ordner 09). Verteiler: Geschaeftsfuehrung, Bereichsleiter IT, Bereichsleiter Compliance, Betriebsrat, Datenschutzbeauftragter. Archivierung im DMS (M-Files) gemaess Aufbewahrungsfristenkatalog der Halbreiter Maschinenbau GmbH. Rueckfragen zu Inhalt oder Anwendung an it-support@halbreiter-maschinenbau.de.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