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Penetrationstest-Bericht 2023</w:t>
      </w:r>
    </w:p>
    <w:p/>
    <w:p>
      <w:pPr>
        <w:pStyle w:val="Heading3"/>
      </w:pPr>
      <w:r>
        <w:t>Zweck und Geltungsbereich</w:t>
      </w:r>
    </w:p>
    <w:p>
      <w:r>
        <w:t>Ergebnisse des externen Penetrationstests bei der Halbreiter Maschinenbau GmbH, durchgefuehrt durch HiSolutions AG (Berlin) im Zeitraum 02.-13. Oktober 2023. Auftragsumfang: Black-Box-Test externer Perimeter sowie Grey-Box-Test wichtiger Web- und SAP-Schnittstellen. Methode: OWASP, OSSTMM, BSI.</w:t>
      </w:r>
    </w:p>
    <w:p>
      <w:pPr>
        <w:pStyle w:val="Heading3"/>
      </w:pPr>
      <w:r>
        <w:t>Scope</w:t>
      </w:r>
    </w:p>
    <w:p>
      <w:pPr>
        <w:pStyle w:val="ListBullet"/>
      </w:pPr>
      <w:r>
        <w:t>Externer Perimeter (10 oeffentliche IPs, 4 Web-Anwendungen).</w:t>
      </w:r>
    </w:p>
    <w:p>
      <w:pPr>
        <w:pStyle w:val="ListBullet"/>
      </w:pPr>
      <w:r>
        <w:t>Salesforce-Integrationen (REST API).</w:t>
      </w:r>
    </w:p>
    <w:p>
      <w:pPr>
        <w:pStyle w:val="ListBullet"/>
      </w:pPr>
      <w:r>
        <w:t>SAP Fiori Launchpad (extern erreichbar).</w:t>
      </w:r>
    </w:p>
    <w:p>
      <w:pPr>
        <w:pStyle w:val="ListBullet"/>
      </w:pPr>
      <w:r>
        <w:t>VPN-Gateway (Fortinet FortiClient + SSL-VPN).</w:t>
      </w:r>
    </w:p>
    <w:p>
      <w:pPr>
        <w:pStyle w:val="ListBullet"/>
      </w:pPr>
      <w:r>
        <w:t>WLAN-Sicherheit am Standort Koeln (vor Ort).</w:t>
      </w:r>
    </w:p>
    <w:p>
      <w:pPr>
        <w:pStyle w:val="Heading3"/>
      </w:pPr>
      <w:r>
        <w:t>Befundsverteilung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Anzahl</w:t>
            </w:r>
          </w:p>
        </w:tc>
        <w:tc>
          <w:tcPr>
            <w:tcW w:type="dxa" w:w="2880"/>
          </w:tcPr>
          <w:p>
            <w:r>
              <w:t>Beispiele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veraltete TLS-Cipher; Default-Credentials Drucker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Information Disclosure, fehlende CSP-Header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veraltete Bibliotheken, schwache Cookie-Flags</w:t>
            </w:r>
          </w:p>
        </w:tc>
      </w:tr>
      <w:tr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Best-Practice-Empfehlungen</w:t>
            </w:r>
          </w:p>
        </w:tc>
      </w:tr>
    </w:tbl>
    <w:p>
      <w:pPr>
        <w:pStyle w:val="Heading3"/>
      </w:pPr>
      <w:r>
        <w:t>Massnahmenstatus</w:t>
      </w:r>
    </w:p>
    <w:p>
      <w:r>
        <w:t>Alle High-Findings binnen 14 Tagen behoben. Medium-Findings bis Ende Q4/2023 abgeschlossen. Low/Informational werden im Backlog des IT-Sicherheitsteams gepflegt und in den naechsten Patch-Zyklen abgearbeitet.</w:t>
      </w:r>
    </w:p>
    <w:p>
      <w:pPr>
        <w:pStyle w:val="Heading3"/>
      </w:pPr>
      <w:r>
        <w:t>Empfehlungen</w:t>
      </w:r>
    </w:p>
    <w:p>
      <w:pPr>
        <w:pStyle w:val="ListBullet"/>
      </w:pPr>
      <w:r>
        <w:t>Einfuehrung eines kontinuierlichen Schwachstellenscans (Tenable Nessus, geplant Q1/2024).</w:t>
      </w:r>
    </w:p>
    <w:p>
      <w:pPr>
        <w:pStyle w:val="ListBullet"/>
      </w:pPr>
      <w:r>
        <w:t>Aufbau Bug-Bounty-Programm fuer ausgewaehlte Anwendungen ab 2025.</w:t>
      </w:r>
    </w:p>
    <w:p>
      <w:pPr>
        <w:pStyle w:val="ListBullet"/>
      </w:pPr>
      <w:r>
        <w:t>Erweiterung der Penetrationstests auf OT-Bereich (Werkstattnetz) in 2024.</w:t>
      </w:r>
    </w:p>
    <w:p>
      <w:pPr>
        <w:pStyle w:val="Heading3"/>
      </w:pPr>
      <w:r>
        <w:t>Bewertung</w:t>
      </w:r>
    </w:p>
    <w:p>
      <w:r>
        <w:t>Gesamtbewertung des Pentests: »angemessen mit Verbesserungspotenzial«; keine kritischen Befunde, rasche Reaktionszeit auf High-Findings. Re-Test fuer Q3/2024 beauftragt.</w:t>
      </w:r>
    </w:p>
    <w:p>
      <w:pPr>
        <w:pStyle w:val="Heading3"/>
      </w:pPr>
      <w:r>
        <w:t>Verantwortlichkeit, Pflege und Schnittstellen</w:t>
      </w:r>
    </w:p>
    <w:p>
      <w:r>
        <w:t>IT-Leitung: Holger Brinkmann (h.brinkmann@halbreiter-maschinenbau.de). Stellvertretung: Andreas Klein (Infrastruktur). Pflege dieses Dokumentes erfolgt mindestens jaehrlich oder anlassbezogen bei wesentlichen Aenderungen der IT-Landschaft, der regulatorischen Anforderungen oder der Geschaeftsprozesse. Freigabe durch die Geschaeftsfuehrung (Klaus Mueller, CEO). Schnittstellen bestehen zum ISMS-Rahmenwerk (Richtlinie COMP_007), zum Notfallplan Produktionsausfall (Ordner 09) sowie zum Risikomanagement (Risikoregister Ordner 09). Verteiler: Geschaeftsfuehrung, Bereichsleiter IT, Bereichsleiter Compliance, Betriebsrat, Datenschutzbeauftragter. Archivierung im DMS (M-Files) gemaess Aufbewahrungsfristenkatalog der Halbreiter Maschinenbau GmbH. Rueckfragen zu Inhalt oder Anwendung an it-support@halbreiter-maschinenbau.de.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