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Software-Inventar 2024</w:t>
      </w:r>
    </w:p>
    <w:p/>
    <w:p>
      <w:pPr>
        <w:pStyle w:val="Heading3"/>
      </w:pPr>
      <w:r>
        <w:t>Zweck und Geltungsbereich</w:t>
      </w:r>
    </w:p>
    <w:p>
      <w:r>
        <w:t>Das Software-Inventar dokumentiert die zentral verwalteten Software-Lizenzen, Subscriptions und Open-Source-Komponenten der Halbreiter Maschinenbau GmbH. Pflege erfolgt automatisiert (Microsoft Intune, Cherwell) ergaenzt durch manuelle Pflege der Spezialanwendungen.</w:t>
      </w:r>
    </w:p>
    <w:p>
      <w:pPr>
        <w:pStyle w:val="Heading3"/>
      </w:pPr>
      <w:r>
        <w:t>Hauptanwendungen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Anwendung</w:t>
            </w:r>
          </w:p>
        </w:tc>
        <w:tc>
          <w:tcPr>
            <w:tcW w:type="dxa" w:w="2160"/>
          </w:tcPr>
          <w:p>
            <w:r>
              <w:t>Hersteller</w:t>
            </w:r>
          </w:p>
        </w:tc>
        <w:tc>
          <w:tcPr>
            <w:tcW w:type="dxa" w:w="2160"/>
          </w:tcPr>
          <w:p>
            <w:r>
              <w:t>Lizenztyp</w:t>
            </w:r>
          </w:p>
        </w:tc>
        <w:tc>
          <w:tcPr>
            <w:tcW w:type="dxa" w:w="2160"/>
          </w:tcPr>
          <w:p>
            <w:r>
              <w:t>Anzahl</w:t>
            </w:r>
          </w:p>
        </w:tc>
      </w:tr>
      <w:tr>
        <w:tc>
          <w:tcPr>
            <w:tcW w:type="dxa" w:w="2160"/>
          </w:tcPr>
          <w:p>
            <w:r>
              <w:t>SAP S/4HANA (Module FI, CO, MM, SD, PP, QM)</w:t>
            </w:r>
          </w:p>
        </w:tc>
        <w:tc>
          <w:tcPr>
            <w:tcW w:type="dxa" w:w="2160"/>
          </w:tcPr>
          <w:p>
            <w:r>
              <w:t>SAP SE</w:t>
            </w:r>
          </w:p>
        </w:tc>
        <w:tc>
          <w:tcPr>
            <w:tcW w:type="dxa" w:w="2160"/>
          </w:tcPr>
          <w:p>
            <w:r>
              <w:t>Named-User + Engines</w:t>
            </w:r>
          </w:p>
        </w:tc>
        <w:tc>
          <w:tcPr>
            <w:tcW w:type="dxa" w:w="2160"/>
          </w:tcPr>
          <w:p>
            <w:r>
              <w:t>196 User</w:t>
            </w:r>
          </w:p>
        </w:tc>
      </w:tr>
      <w:tr>
        <w:tc>
          <w:tcPr>
            <w:tcW w:type="dxa" w:w="2160"/>
          </w:tcPr>
          <w:p>
            <w:r>
              <w:t>Salesforce Sales + Service Cloud</w:t>
            </w:r>
          </w:p>
        </w:tc>
        <w:tc>
          <w:tcPr>
            <w:tcW w:type="dxa" w:w="2160"/>
          </w:tcPr>
          <w:p>
            <w:r>
              <w:t>salesforce.com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 xml:space="preserve"> 50 User</w:t>
            </w:r>
          </w:p>
        </w:tc>
      </w:tr>
      <w:tr>
        <w:tc>
          <w:tcPr>
            <w:tcW w:type="dxa" w:w="2160"/>
          </w:tcPr>
          <w:p>
            <w:r>
              <w:t>SINUMERIK ONE</w:t>
            </w:r>
          </w:p>
        </w:tc>
        <w:tc>
          <w:tcPr>
            <w:tcW w:type="dxa" w:w="2160"/>
          </w:tcPr>
          <w:p>
            <w:r>
              <w:t>Siemens AG</w:t>
            </w:r>
          </w:p>
        </w:tc>
        <w:tc>
          <w:tcPr>
            <w:tcW w:type="dxa" w:w="2160"/>
          </w:tcPr>
          <w:p>
            <w:r>
              <w:t>Runtime + Wartung</w:t>
            </w:r>
          </w:p>
        </w:tc>
        <w:tc>
          <w:tcPr>
            <w:tcW w:type="dxa" w:w="2160"/>
          </w:tcPr>
          <w:p>
            <w:r>
              <w:t xml:space="preserve"> 12 Lizenzen</w:t>
            </w:r>
          </w:p>
        </w:tc>
      </w:tr>
      <w:tr>
        <w:tc>
          <w:tcPr>
            <w:tcW w:type="dxa" w:w="2160"/>
          </w:tcPr>
          <w:p>
            <w:r>
              <w:t>AutoCAD Mechanical 2024</w:t>
            </w:r>
          </w:p>
        </w:tc>
        <w:tc>
          <w:tcPr>
            <w:tcW w:type="dxa" w:w="2160"/>
          </w:tcPr>
          <w:p>
            <w:r>
              <w:t>Autodesk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 xml:space="preserve"> 28 User</w:t>
            </w:r>
          </w:p>
        </w:tc>
      </w:tr>
      <w:tr>
        <w:tc>
          <w:tcPr>
            <w:tcW w:type="dxa" w:w="2160"/>
          </w:tcPr>
          <w:p>
            <w:r>
              <w:t>SOLIDWORKS Premium 2024</w:t>
            </w:r>
          </w:p>
        </w:tc>
        <w:tc>
          <w:tcPr>
            <w:tcW w:type="dxa" w:w="2160"/>
          </w:tcPr>
          <w:p>
            <w:r>
              <w:t>Dassault Systèmes</w:t>
            </w:r>
          </w:p>
        </w:tc>
        <w:tc>
          <w:tcPr>
            <w:tcW w:type="dxa" w:w="2160"/>
          </w:tcPr>
          <w:p>
            <w:r>
              <w:t>Stand-alone</w:t>
            </w:r>
          </w:p>
        </w:tc>
        <w:tc>
          <w:tcPr>
            <w:tcW w:type="dxa" w:w="2160"/>
          </w:tcPr>
          <w:p>
            <w:r>
              <w:t xml:space="preserve"> 18 Floating</w:t>
            </w:r>
          </w:p>
        </w:tc>
      </w:tr>
      <w:tr>
        <w:tc>
          <w:tcPr>
            <w:tcW w:type="dxa" w:w="2160"/>
          </w:tcPr>
          <w:p>
            <w:r>
              <w:t>Microsoft 365 E5</w:t>
            </w:r>
          </w:p>
        </w:tc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240 User</w:t>
            </w:r>
          </w:p>
        </w:tc>
      </w:tr>
      <w:tr>
        <w:tc>
          <w:tcPr>
            <w:tcW w:type="dxa" w:w="2160"/>
          </w:tcPr>
          <w:p>
            <w:r>
              <w:t>Veeam Backup &amp; Replication</w:t>
            </w:r>
          </w:p>
        </w:tc>
        <w:tc>
          <w:tcPr>
            <w:tcW w:type="dxa" w:w="2160"/>
          </w:tcPr>
          <w:p>
            <w:r>
              <w:t>Veeam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 xml:space="preserve">  1 Lizenz (Site)</w:t>
            </w:r>
          </w:p>
        </w:tc>
      </w:tr>
      <w:tr>
        <w:tc>
          <w:tcPr>
            <w:tcW w:type="dxa" w:w="2160"/>
          </w:tcPr>
          <w:p>
            <w:r>
              <w:t>Defender XDR + Sentinel</w:t>
            </w:r>
          </w:p>
        </w:tc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240 User</w:t>
            </w:r>
          </w:p>
        </w:tc>
      </w:tr>
    </w:tbl>
    <w:p>
      <w:pPr>
        <w:pStyle w:val="Heading3"/>
      </w:pPr>
      <w:r>
        <w:t>Compliance</w:t>
      </w:r>
    </w:p>
    <w:p>
      <w:pPr>
        <w:pStyle w:val="ListBullet"/>
      </w:pPr>
      <w:r>
        <w:t>Jaehrliche Lizenzpruefung (Software Asset Management) durch Anja Lenz.</w:t>
      </w:r>
    </w:p>
    <w:p>
      <w:pPr>
        <w:pStyle w:val="ListBullet"/>
      </w:pPr>
      <w:r>
        <w:t>Audit-Spiegel SAP intern (Engine-Nutzung); Re-Audit alle 24 Monate.</w:t>
      </w:r>
    </w:p>
    <w:p>
      <w:pPr>
        <w:pStyle w:val="ListBullet"/>
      </w:pPr>
      <w:r>
        <w:t>Open-Source-Komponenten: SBOM-Pflege fuer eigene Embedded-Software (PL-500, FB-200).</w:t>
      </w:r>
    </w:p>
    <w:p>
      <w:pPr>
        <w:pStyle w:val="Heading3"/>
      </w:pPr>
      <w:r>
        <w:t>Roadmap</w:t>
      </w:r>
    </w:p>
    <w:p>
      <w:pPr>
        <w:pStyle w:val="ListBullet"/>
      </w:pPr>
      <w:r>
        <w:t>Migration AutoCAD Mechanical 2024 -&gt; 2025 Q2/2024.</w:t>
      </w:r>
    </w:p>
    <w:p>
      <w:pPr>
        <w:pStyle w:val="ListBullet"/>
      </w:pPr>
      <w:r>
        <w:t>Pilot M365 Copilot Q3/2024 (40 Pilotanwender).</w:t>
      </w:r>
    </w:p>
    <w:p>
      <w:pPr>
        <w:pStyle w:val="ListBullet"/>
      </w:pPr>
      <w:r>
        <w:t>Evaluierung Power Platform fuer Service-App Q4/2024.</w:t>
      </w:r>
    </w:p>
    <w:p>
      <w:pPr>
        <w:pStyle w:val="Heading3"/>
      </w:pPr>
      <w:r>
        <w:t>Datenhaltung</w:t>
      </w:r>
    </w:p>
    <w:p>
      <w:r>
        <w:t>Software-Inventar wird in Cherwell Asset Mgmt gefuehrt. Schnittstelle zu SAP CO (Kostenstellen).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