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Protokoll Beiratssitzung Q1/2024</w:t>
      </w:r>
    </w:p>
    <w:p/>
    <w:p>
      <w:pPr>
        <w:pStyle w:val="Heading3"/>
      </w:pPr>
      <w:r>
        <w:t>Sitzungsdaten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Sitzung</w:t>
            </w:r>
          </w:p>
        </w:tc>
        <w:tc>
          <w:tcPr>
            <w:tcW w:type="dxa" w:w="4320"/>
          </w:tcPr>
          <w:p>
            <w:r>
              <w:t>Q1/2024 (Sitzung Nr. 2024-01)</w:t>
            </w:r>
          </w:p>
        </w:tc>
      </w:tr>
      <w:tr>
        <w:tc>
          <w:tcPr>
            <w:tcW w:type="dxa" w:w="4320"/>
          </w:tcPr>
          <w:p>
            <w:r>
              <w:t>Ort</w:t>
            </w:r>
          </w:p>
        </w:tc>
        <w:tc>
          <w:tcPr>
            <w:tcW w:type="dxa" w:w="4320"/>
          </w:tcPr>
          <w:p>
            <w:r>
              <w:t>Halbreiter Maschinenbau GmbH, Verwaltungsgebaeude, R. 3.05</w:t>
            </w:r>
          </w:p>
        </w:tc>
      </w:tr>
      <w:tr>
        <w:tc>
          <w:tcPr>
            <w:tcW w:type="dxa" w:w="4320"/>
          </w:tcPr>
          <w:p>
            <w:r>
              <w:t>Datum</w:t>
            </w:r>
          </w:p>
        </w:tc>
        <w:tc>
          <w:tcPr>
            <w:tcW w:type="dxa" w:w="4320"/>
          </w:tcPr>
          <w:p>
            <w:r>
              <w:t>14. Maerz 2024</w:t>
            </w:r>
          </w:p>
        </w:tc>
      </w:tr>
      <w:tr>
        <w:tc>
          <w:tcPr>
            <w:tcW w:type="dxa" w:w="4320"/>
          </w:tcPr>
          <w:p>
            <w:r>
              <w:t>Beginn / Ende</w:t>
            </w:r>
          </w:p>
        </w:tc>
        <w:tc>
          <w:tcPr>
            <w:tcW w:type="dxa" w:w="4320"/>
          </w:tcPr>
          <w:p>
            <w:r>
              <w:t>09:30 / 13:45 Uhr</w:t>
            </w:r>
          </w:p>
        </w:tc>
      </w:tr>
      <w:tr>
        <w:tc>
          <w:tcPr>
            <w:tcW w:type="dxa" w:w="4320"/>
          </w:tcPr>
          <w:p>
            <w:r>
              <w:t>Vorsitz Beirat</w:t>
            </w:r>
          </w:p>
        </w:tc>
        <w:tc>
          <w:tcPr>
            <w:tcW w:type="dxa" w:w="4320"/>
          </w:tcPr>
          <w:p>
            <w:r>
              <w:t>Dr. Hans-Joachim Lemke (ext. Beirat)</w:t>
            </w:r>
          </w:p>
        </w:tc>
      </w:tr>
      <w:tr>
        <w:tc>
          <w:tcPr>
            <w:tcW w:type="dxa" w:w="4320"/>
          </w:tcPr>
          <w:p>
            <w:r>
              <w:t>Protokoll</w:t>
            </w:r>
          </w:p>
        </w:tc>
        <w:tc>
          <w:tcPr>
            <w:tcW w:type="dxa" w:w="4320"/>
          </w:tcPr>
          <w:p>
            <w:r>
              <w:t>Anja Lenz</w:t>
            </w:r>
          </w:p>
        </w:tc>
      </w:tr>
    </w:tbl>
    <w:p>
      <w:pPr>
        <w:pStyle w:val="Heading3"/>
      </w:pPr>
      <w:r>
        <w:t>Anwesende</w:t>
      </w:r>
    </w:p>
    <w:p>
      <w:pPr>
        <w:pStyle w:val="ListBullet"/>
      </w:pPr>
      <w:r>
        <w:t>Beirat: Dr. Hans-Joachim Lemke (Vorsitz), Prof. Dr. Carla Brandt (Hochschule Niederrhein), Dipl.-Kfm. Heinz Roettgen (ehem. Schuler AG)</w:t>
      </w:r>
    </w:p>
    <w:p>
      <w:pPr>
        <w:pStyle w:val="ListBullet"/>
      </w:pPr>
      <w:r>
        <w:t>Geschaeftsfuehrung: Klaus Mueller (CEO), Sandra Becker (CFO)</w:t>
      </w:r>
    </w:p>
    <w:p>
      <w:pPr>
        <w:pStyle w:val="ListBullet"/>
      </w:pPr>
      <w:r>
        <w:t>Gaeste: Dr.-Ing. Sabine Hoff (Konstruktion, TOP 4), Stefan Braun (Einkauf, TOP 5)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 – Begruessung und Annahme des Protokolls Q4/2023</w:t>
      </w:r>
    </w:p>
    <w:p>
      <w:pPr>
        <w:pStyle w:val="ListBullet"/>
      </w:pPr>
      <w:r>
        <w:t>TOP 2 – Bericht der Geschaeftsfuehrung (Lage, KPIs Q1/2024)</w:t>
      </w:r>
    </w:p>
    <w:p>
      <w:pPr>
        <w:pStyle w:val="ListBullet"/>
      </w:pPr>
      <w:r>
        <w:t>TOP 3 – Strategischer Lagebericht 2024-2026</w:t>
      </w:r>
    </w:p>
    <w:p>
      <w:pPr>
        <w:pStyle w:val="ListBullet"/>
      </w:pPr>
      <w:r>
        <w:t>TOP 4 – Innovationsroadmap (PL-500 Rev. 4, KI-Edge)</w:t>
      </w:r>
    </w:p>
    <w:p>
      <w:pPr>
        <w:pStyle w:val="ListBullet"/>
      </w:pPr>
      <w:r>
        <w:t>TOP 5 – Materialinflation / Hedging-Strategie</w:t>
      </w:r>
    </w:p>
    <w:p>
      <w:pPr>
        <w:pStyle w:val="ListBullet"/>
      </w:pPr>
      <w:r>
        <w:t>TOP 6 – Sonstiges</w:t>
      </w:r>
    </w:p>
    <w:p>
      <w:pPr>
        <w:pStyle w:val="Heading3"/>
      </w:pPr>
      <w:r>
        <w:t>Wesentliche Beschluesse</w:t>
      </w:r>
    </w:p>
    <w:p>
      <w:pPr>
        <w:pStyle w:val="ListBullet"/>
      </w:pPr>
      <w:r>
        <w:t>Annahme des Protokolls Q4/2023 (einstimmig).</w:t>
      </w:r>
    </w:p>
    <w:p>
      <w:pPr>
        <w:pStyle w:val="ListBullet"/>
      </w:pPr>
      <w:r>
        <w:t>Zur Kenntnisnahme: Lagebericht Q1/2024; Umsatzplan 2024 i.H.v. 52,5 Mio. EUR bestaetigt.</w:t>
      </w:r>
    </w:p>
    <w:p>
      <w:pPr>
        <w:pStyle w:val="ListBullet"/>
      </w:pPr>
      <w:r>
        <w:t>Empfehlung an die GF: Vorbereitung CSRD-Berichterstattung mit Zieltermin 2025 weiterfuehren.</w:t>
      </w:r>
    </w:p>
    <w:p>
      <w:pPr>
        <w:pStyle w:val="ListBullet"/>
      </w:pPr>
      <w:r>
        <w:t>Empfehlung: Vertiefung der Hedging-Vereinbarungen mit Stahllieferanten (Q2/2024).</w:t>
      </w:r>
    </w:p>
    <w:p>
      <w:pPr>
        <w:pStyle w:val="ListBullet"/>
      </w:pPr>
      <w:r>
        <w:t>Naechste Sitzung: 13. Juni 2024.</w:t>
      </w:r>
    </w:p>
    <w:p>
      <w:pPr>
        <w:pStyle w:val="Heading3"/>
      </w:pPr>
      <w:r>
        <w:t>Vorlagen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Nr.</w:t>
            </w:r>
          </w:p>
        </w:tc>
        <w:tc>
          <w:tcPr>
            <w:tcW w:type="dxa" w:w="2880"/>
          </w:tcPr>
          <w:p>
            <w:r>
              <w:t>Vorlage</w:t>
            </w:r>
          </w:p>
        </w:tc>
        <w:tc>
          <w:tcPr>
            <w:tcW w:type="dxa" w:w="2880"/>
          </w:tcPr>
          <w:p>
            <w:r>
              <w:t>Erstellt von</w:t>
            </w:r>
          </w:p>
        </w:tc>
      </w:tr>
      <w:tr>
        <w:tc>
          <w:tcPr>
            <w:tcW w:type="dxa" w:w="2880"/>
          </w:tcPr>
          <w:p>
            <w:r>
              <w:t>V-2024-01</w:t>
            </w:r>
          </w:p>
        </w:tc>
        <w:tc>
          <w:tcPr>
            <w:tcW w:type="dxa" w:w="2880"/>
          </w:tcPr>
          <w:p>
            <w:r>
              <w:t>Lagebericht Q1/2024 (KPIs, Auftragseingang, Liquiditaet)</w:t>
            </w:r>
          </w:p>
        </w:tc>
        <w:tc>
          <w:tcPr>
            <w:tcW w:type="dxa" w:w="2880"/>
          </w:tcPr>
          <w:p>
            <w:r>
              <w:t>Sandra Becker</w:t>
            </w:r>
          </w:p>
        </w:tc>
      </w:tr>
      <w:tr>
        <w:tc>
          <w:tcPr>
            <w:tcW w:type="dxa" w:w="2880"/>
          </w:tcPr>
          <w:p>
            <w:r>
              <w:t>V-2024-02</w:t>
            </w:r>
          </w:p>
        </w:tc>
        <w:tc>
          <w:tcPr>
            <w:tcW w:type="dxa" w:w="2880"/>
          </w:tcPr>
          <w:p>
            <w:r>
              <w:t>Strategielageplan 2024-2026 (SWOT, Wettbewerb)</w:t>
            </w:r>
          </w:p>
        </w:tc>
        <w:tc>
          <w:tcPr>
            <w:tcW w:type="dxa" w:w="2880"/>
          </w:tcPr>
          <w:p>
            <w:r>
              <w:t>Klaus Mueller</w:t>
            </w:r>
          </w:p>
        </w:tc>
      </w:tr>
      <w:tr>
        <w:tc>
          <w:tcPr>
            <w:tcW w:type="dxa" w:w="2880"/>
          </w:tcPr>
          <w:p>
            <w:r>
              <w:t>V-2024-03</w:t>
            </w:r>
          </w:p>
        </w:tc>
        <w:tc>
          <w:tcPr>
            <w:tcW w:type="dxa" w:w="2880"/>
          </w:tcPr>
          <w:p>
            <w:r>
              <w:t>Innovationsroadmap PL-500 Rev. 4 / KI-Edge</w:t>
            </w:r>
          </w:p>
        </w:tc>
        <w:tc>
          <w:tcPr>
            <w:tcW w:type="dxa" w:w="2880"/>
          </w:tcPr>
          <w:p>
            <w:r>
              <w:t>Sabine Hoff</w:t>
            </w:r>
          </w:p>
        </w:tc>
      </w:tr>
      <w:tr>
        <w:tc>
          <w:tcPr>
            <w:tcW w:type="dxa" w:w="2880"/>
          </w:tcPr>
          <w:p>
            <w:r>
              <w:t>V-2024-04</w:t>
            </w:r>
          </w:p>
        </w:tc>
        <w:tc>
          <w:tcPr>
            <w:tcW w:type="dxa" w:w="2880"/>
          </w:tcPr>
          <w:p>
            <w:r>
              <w:t>Hedging-Konzept Stahl</w:t>
            </w:r>
          </w:p>
        </w:tc>
        <w:tc>
          <w:tcPr>
            <w:tcW w:type="dxa" w:w="2880"/>
          </w:tcPr>
          <w:p>
            <w:r>
              <w:t>Stefan Braun</w:t>
            </w:r>
          </w:p>
        </w:tc>
      </w:tr>
    </w:tbl>
    <w:p>
      <w:pPr>
        <w:pStyle w:val="Heading3"/>
      </w:pPr>
      <w:r>
        <w:t>Unterschrift</w:t>
      </w:r>
    </w:p>
    <w:p>
      <w:r>
        <w:t>Ort, Datum: Koeln, den 14. Maerz 2024</w:t>
      </w:r>
    </w:p>
    <w:p>
      <w:r>
        <w:t>_________________________            _________________________</w:t>
        <w:br/>
        <w:t>Dr. Hans-Joachim Lemke                          Klaus Mueller</w:t>
        <w:br/>
        <w:t>Vorsitz Beirat                          Geschaeftsfuehrer</w:t>
        <w:br/>
        <w:t>Beirat MMB                       Halbreiter Maschinenbau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