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Digitalisierungsbericht Q2/2024</w:t>
      </w:r>
    </w:p>
    <w:p/>
    <w:p>
      <w:pPr>
        <w:pStyle w:val="Heading3"/>
      </w:pPr>
      <w:r>
        <w:t>Zweck und Geltungsbereich</w:t>
      </w:r>
    </w:p>
    <w:p>
      <w:r>
        <w:t>Der Digitalisierungsbericht Q2/2024 fasst den Stand der Digitalisierungsinitiative »MMB Digital 2026« der Halbreiter Maschinenbau GmbH zusammen und dokumentiert die im Quartal abgeschlossenen sowie geplanten Massnahmen.</w:t>
      </w:r>
    </w:p>
    <w:p>
      <w:pPr>
        <w:pStyle w:val="Heading3"/>
      </w:pPr>
      <w:r>
        <w:t>Programmstruktur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Cluster</w:t>
            </w:r>
          </w:p>
        </w:tc>
        <w:tc>
          <w:tcPr>
            <w:tcW w:type="dxa" w:w="2160"/>
          </w:tcPr>
          <w:p>
            <w:r>
              <w:t>Initiative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</w:tr>
      <w:tr>
        <w:tc>
          <w:tcPr>
            <w:tcW w:type="dxa" w:w="2160"/>
          </w:tcPr>
          <w:p>
            <w:r>
              <w:t>1. Verwaltung</w:t>
            </w:r>
          </w:p>
        </w:tc>
        <w:tc>
          <w:tcPr>
            <w:tcW w:type="dxa" w:w="2160"/>
          </w:tcPr>
          <w:p>
            <w:r>
              <w:t>M365 E5 Vollmigration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Produktivitaet, Sicherheit</w:t>
            </w:r>
          </w:p>
        </w:tc>
      </w:tr>
      <w:tr>
        <w:tc>
          <w:tcPr>
            <w:tcW w:type="dxa" w:w="2160"/>
          </w:tcPr>
          <w:p>
            <w:r>
              <w:t>1. Verwaltung</w:t>
            </w:r>
          </w:p>
        </w:tc>
        <w:tc>
          <w:tcPr>
            <w:tcW w:type="dxa" w:w="2160"/>
          </w:tcPr>
          <w:p>
            <w:r>
              <w:t>Einfuehrung Personio (HR)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Self-Service Mitarbeiter</w:t>
            </w:r>
          </w:p>
        </w:tc>
      </w:tr>
      <w:tr>
        <w:tc>
          <w:tcPr>
            <w:tcW w:type="dxa" w:w="2160"/>
          </w:tcPr>
          <w:p>
            <w:r>
              <w:t>2. Engineering</w:t>
            </w:r>
          </w:p>
        </w:tc>
        <w:tc>
          <w:tcPr>
            <w:tcW w:type="dxa" w:w="2160"/>
          </w:tcPr>
          <w:p>
            <w:r>
              <w:t>PDM-Konsolidierung SOLIDWORKS</w:t>
            </w:r>
          </w:p>
        </w:tc>
        <w:tc>
          <w:tcPr>
            <w:tcW w:type="dxa" w:w="2160"/>
          </w:tcPr>
          <w:p>
            <w:r>
              <w:t>in Arbeit</w:t>
            </w:r>
          </w:p>
        </w:tc>
        <w:tc>
          <w:tcPr>
            <w:tcW w:type="dxa" w:w="2160"/>
          </w:tcPr>
          <w:p>
            <w:r>
              <w:t>CAD-Single-Source</w:t>
            </w:r>
          </w:p>
        </w:tc>
      </w:tr>
      <w:tr>
        <w:tc>
          <w:tcPr>
            <w:tcW w:type="dxa" w:w="2160"/>
          </w:tcPr>
          <w:p>
            <w:r>
              <w:t>2. Engineering</w:t>
            </w:r>
          </w:p>
        </w:tc>
        <w:tc>
          <w:tcPr>
            <w:tcW w:type="dxa" w:w="2160"/>
          </w:tcPr>
          <w:p>
            <w:r>
              <w:t>Digital Twin Pilot PL-500</w:t>
            </w:r>
          </w:p>
        </w:tc>
        <w:tc>
          <w:tcPr>
            <w:tcW w:type="dxa" w:w="2160"/>
          </w:tcPr>
          <w:p>
            <w:r>
              <w:t>Pilot Q3/2024</w:t>
            </w:r>
          </w:p>
        </w:tc>
        <w:tc>
          <w:tcPr>
            <w:tcW w:type="dxa" w:w="2160"/>
          </w:tcPr>
          <w:p>
            <w:r>
              <w:t>Service / Predictive</w:t>
            </w:r>
          </w:p>
        </w:tc>
      </w:tr>
      <w:tr>
        <w:tc>
          <w:tcPr>
            <w:tcW w:type="dxa" w:w="2160"/>
          </w:tcPr>
          <w:p>
            <w:r>
              <w:t>3. Produktion</w:t>
            </w:r>
          </w:p>
        </w:tc>
        <w:tc>
          <w:tcPr>
            <w:tcW w:type="dxa" w:w="2160"/>
          </w:tcPr>
          <w:p>
            <w:r>
              <w:t>OT/IT-Segmentierung</w:t>
            </w:r>
          </w:p>
        </w:tc>
        <w:tc>
          <w:tcPr>
            <w:tcW w:type="dxa" w:w="2160"/>
          </w:tcPr>
          <w:p>
            <w:r>
              <w:t>abgeschlossen</w:t>
            </w:r>
          </w:p>
        </w:tc>
        <w:tc>
          <w:tcPr>
            <w:tcW w:type="dxa" w:w="2160"/>
          </w:tcPr>
          <w:p>
            <w:r>
              <w:t>OT-Sicherheit</w:t>
            </w:r>
          </w:p>
        </w:tc>
      </w:tr>
      <w:tr>
        <w:tc>
          <w:tcPr>
            <w:tcW w:type="dxa" w:w="2160"/>
          </w:tcPr>
          <w:p>
            <w:r>
              <w:t>3. Produktion</w:t>
            </w:r>
          </w:p>
        </w:tc>
        <w:tc>
          <w:tcPr>
            <w:tcW w:type="dxa" w:w="2160"/>
          </w:tcPr>
          <w:p>
            <w:r>
              <w:t>MES-Modul Halle B</w:t>
            </w:r>
          </w:p>
        </w:tc>
        <w:tc>
          <w:tcPr>
            <w:tcW w:type="dxa" w:w="2160"/>
          </w:tcPr>
          <w:p>
            <w:r>
              <w:t>in Arbeit</w:t>
            </w:r>
          </w:p>
        </w:tc>
        <w:tc>
          <w:tcPr>
            <w:tcW w:type="dxa" w:w="2160"/>
          </w:tcPr>
          <w:p>
            <w:r>
              <w:t>Transparenz</w:t>
            </w:r>
          </w:p>
        </w:tc>
      </w:tr>
      <w:tr>
        <w:tc>
          <w:tcPr>
            <w:tcW w:type="dxa" w:w="2160"/>
          </w:tcPr>
          <w:p>
            <w:r>
              <w:t>4. Service</w:t>
            </w:r>
          </w:p>
        </w:tc>
        <w:tc>
          <w:tcPr>
            <w:tcW w:type="dxa" w:w="2160"/>
          </w:tcPr>
          <w:p>
            <w:r>
              <w:t>Customer-Portal v2</w:t>
            </w:r>
          </w:p>
        </w:tc>
        <w:tc>
          <w:tcPr>
            <w:tcW w:type="dxa" w:w="2160"/>
          </w:tcPr>
          <w:p>
            <w:r>
              <w:t>Beta Q3/2024</w:t>
            </w:r>
          </w:p>
        </w:tc>
        <w:tc>
          <w:tcPr>
            <w:tcW w:type="dxa" w:w="2160"/>
          </w:tcPr>
          <w:p>
            <w:r>
              <w:t>Self-Service Kunden</w:t>
            </w:r>
          </w:p>
        </w:tc>
      </w:tr>
      <w:tr>
        <w:tc>
          <w:tcPr>
            <w:tcW w:type="dxa" w:w="2160"/>
          </w:tcPr>
          <w:p>
            <w:r>
              <w:t>4. Service</w:t>
            </w:r>
          </w:p>
        </w:tc>
        <w:tc>
          <w:tcPr>
            <w:tcW w:type="dxa" w:w="2160"/>
          </w:tcPr>
          <w:p>
            <w:r>
              <w:t>Predictive Maintenance Pilot</w:t>
            </w:r>
          </w:p>
        </w:tc>
        <w:tc>
          <w:tcPr>
            <w:tcW w:type="dxa" w:w="2160"/>
          </w:tcPr>
          <w:p>
            <w:r>
              <w:t>gestartet</w:t>
            </w:r>
          </w:p>
        </w:tc>
        <w:tc>
          <w:tcPr>
            <w:tcW w:type="dxa" w:w="2160"/>
          </w:tcPr>
          <w:p>
            <w:r>
              <w:t>Reduktion Stoerungen</w:t>
            </w:r>
          </w:p>
        </w:tc>
      </w:tr>
    </w:tbl>
    <w:p>
      <w:pPr>
        <w:pStyle w:val="Heading3"/>
      </w:pPr>
      <w:r>
        <w:t>Kennzahlen Q2/2024</w:t>
      </w:r>
    </w:p>
    <w:p>
      <w:pPr>
        <w:pStyle w:val="ListBullet"/>
      </w:pPr>
      <w:r>
        <w:t>Digitalisierungs-Investitionen YTD: 0,68 Mio. EUR (Plan 1,2 Mio. EUR im Jahr).</w:t>
      </w:r>
    </w:p>
    <w:p>
      <w:pPr>
        <w:pStyle w:val="ListBullet"/>
      </w:pPr>
      <w:r>
        <w:t>Anteil Self-Service Service-Tickets ueber Portal: 32 % (Vorjahr 18 %).</w:t>
      </w:r>
    </w:p>
    <w:p>
      <w:pPr>
        <w:pStyle w:val="ListBullet"/>
      </w:pPr>
      <w:r>
        <w:t>Mean Time To Resolution Service-Tickets: 7,2 Tage (-1,8 Tage vs. Vorjahr).</w:t>
      </w:r>
    </w:p>
    <w:p>
      <w:pPr>
        <w:pStyle w:val="ListBullet"/>
      </w:pPr>
      <w:r>
        <w:t>Aktive Pilotkunden Predictive Maintenance: 6 (Ziel 2024: 10).</w:t>
      </w:r>
    </w:p>
    <w:p>
      <w:pPr>
        <w:pStyle w:val="Heading3"/>
      </w:pPr>
      <w:r>
        <w:t>Risiken / Abhaengigkeiten</w:t>
      </w:r>
    </w:p>
    <w:p>
      <w:pPr>
        <w:pStyle w:val="ListBullet"/>
      </w:pPr>
      <w:r>
        <w:t>Verzoegerungen MES-Modul Halle B aufgrund Lieferanten-Engpass (PSI Software AG).</w:t>
      </w:r>
    </w:p>
    <w:p>
      <w:pPr>
        <w:pStyle w:val="ListBullet"/>
      </w:pPr>
      <w:r>
        <w:t>Personalengpass im Engineering bremst PDM-Konsolidierung.</w:t>
      </w:r>
    </w:p>
    <w:p>
      <w:pPr>
        <w:pStyle w:val="ListBullet"/>
      </w:pPr>
      <w:r>
        <w:t>Cybersicherheitsrisiken durch ausgeweitete Cloud-Schnittstellen; Kontrolle ueber SOC.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Go-Live MES Modul Halle B verschoben auf Q4/2024.</w:t>
      </w:r>
    </w:p>
    <w:p>
      <w:pPr>
        <w:pStyle w:val="ListBullet"/>
      </w:pPr>
      <w:r>
        <w:t>Digital Twin Pilot PL-500 mit RWTH Aachen Q3/2024.</w:t>
      </w:r>
    </w:p>
    <w:p>
      <w:pPr>
        <w:pStyle w:val="ListBullet"/>
      </w:pPr>
      <w:r>
        <w:t>Customer-Portal v2 General-Release Q4/2024.</w:t>
      </w:r>
    </w:p>
    <w:p>
      <w:pPr>
        <w:pStyle w:val="Heading3"/>
      </w:pPr>
      <w:r>
        <w:t>Freigabe</w:t>
      </w:r>
    </w:p>
    <w:p>
      <w:r>
        <w:t>Bericht freigegeben durch Klaus Mueller (CEO) und Holger Brinkmann (IT) am 15. Juli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