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Energieverbrauchsanalyse 2023</w:t>
      </w:r>
    </w:p>
    <w:p/>
    <w:p>
      <w:pPr>
        <w:pStyle w:val="Heading3"/>
      </w:pPr>
      <w:r>
        <w:t>Zweck</w:t>
      </w:r>
    </w:p>
    <w:p>
      <w:r>
        <w:t>Diese Analyse fasst den Energieverbrauch der Halbreiter Maschinenbau GmbH im Berichtsjahr 2023 zusammen und ordnet ihn in die Mehrjahresentwicklung ein. Sie dient als Grundlage fuer Investitionsentscheidungen im Rahmen des Energiemanagementsystems (DIN EN ISO 50001) und der Klimastrategie.</w:t>
      </w:r>
    </w:p>
    <w:p>
      <w:pPr>
        <w:pStyle w:val="Heading3"/>
      </w:pPr>
      <w:r>
        <w:t>Mehrjahresvergleich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Energieart</w:t>
            </w:r>
          </w:p>
        </w:tc>
        <w:tc>
          <w:tcPr>
            <w:tcW w:type="dxa" w:w="1728"/>
          </w:tcPr>
          <w:p>
            <w:r>
              <w:t>2021</w:t>
            </w:r>
          </w:p>
        </w:tc>
        <w:tc>
          <w:tcPr>
            <w:tcW w:type="dxa" w:w="1728"/>
          </w:tcPr>
          <w:p>
            <w:r>
              <w:t>2022</w:t>
            </w:r>
          </w:p>
        </w:tc>
        <w:tc>
          <w:tcPr>
            <w:tcW w:type="dxa" w:w="1728"/>
          </w:tcPr>
          <w:p>
            <w:r>
              <w:t>2023</w:t>
            </w:r>
          </w:p>
        </w:tc>
        <w:tc>
          <w:tcPr>
            <w:tcW w:type="dxa" w:w="1728"/>
          </w:tcPr>
          <w:p>
            <w:r>
              <w:t>Veraenderung 23/22</w:t>
            </w:r>
          </w:p>
        </w:tc>
      </w:tr>
      <w:tr>
        <w:tc>
          <w:tcPr>
            <w:tcW w:type="dxa" w:w="1728"/>
          </w:tcPr>
          <w:p>
            <w:r>
              <w:t>Strom (MWh)</w:t>
            </w:r>
          </w:p>
        </w:tc>
        <w:tc>
          <w:tcPr>
            <w:tcW w:type="dxa" w:w="1728"/>
          </w:tcPr>
          <w:p>
            <w:r>
              <w:t>1.348</w:t>
            </w:r>
          </w:p>
        </w:tc>
        <w:tc>
          <w:tcPr>
            <w:tcW w:type="dxa" w:w="1728"/>
          </w:tcPr>
          <w:p>
            <w:r>
              <w:t>1.226</w:t>
            </w:r>
          </w:p>
        </w:tc>
        <w:tc>
          <w:tcPr>
            <w:tcW w:type="dxa" w:w="1728"/>
          </w:tcPr>
          <w:p>
            <w:r>
              <w:t>1.180</w:t>
            </w:r>
          </w:p>
        </w:tc>
        <w:tc>
          <w:tcPr>
            <w:tcW w:type="dxa" w:w="1728"/>
          </w:tcPr>
          <w:p>
            <w:r>
              <w:t>-3,8 %</w:t>
            </w:r>
          </w:p>
        </w:tc>
      </w:tr>
      <w:tr>
        <w:tc>
          <w:tcPr>
            <w:tcW w:type="dxa" w:w="1728"/>
          </w:tcPr>
          <w:p>
            <w:r>
              <w:t>Erdgas (MWh)</w:t>
            </w:r>
          </w:p>
        </w:tc>
        <w:tc>
          <w:tcPr>
            <w:tcW w:type="dxa" w:w="1728"/>
          </w:tcPr>
          <w:p>
            <w:r>
              <w:t xml:space="preserve">  912</w:t>
            </w:r>
          </w:p>
        </w:tc>
        <w:tc>
          <w:tcPr>
            <w:tcW w:type="dxa" w:w="1728"/>
          </w:tcPr>
          <w:p>
            <w:r>
              <w:t>812</w:t>
            </w:r>
          </w:p>
        </w:tc>
        <w:tc>
          <w:tcPr>
            <w:tcW w:type="dxa" w:w="1728"/>
          </w:tcPr>
          <w:p>
            <w:r>
              <w:t>742</w:t>
            </w:r>
          </w:p>
        </w:tc>
        <w:tc>
          <w:tcPr>
            <w:tcW w:type="dxa" w:w="1728"/>
          </w:tcPr>
          <w:p>
            <w:r>
              <w:t>-8,6 %</w:t>
            </w:r>
          </w:p>
        </w:tc>
      </w:tr>
      <w:tr>
        <w:tc>
          <w:tcPr>
            <w:tcW w:type="dxa" w:w="1728"/>
          </w:tcPr>
          <w:p>
            <w:r>
              <w:t>Diesel Werkfuhrpark (l)</w:t>
            </w:r>
          </w:p>
        </w:tc>
        <w:tc>
          <w:tcPr>
            <w:tcW w:type="dxa" w:w="1728"/>
          </w:tcPr>
          <w:p>
            <w:r>
              <w:t>12.420</w:t>
            </w:r>
          </w:p>
        </w:tc>
        <w:tc>
          <w:tcPr>
            <w:tcW w:type="dxa" w:w="1728"/>
          </w:tcPr>
          <w:p>
            <w:r>
              <w:t>11.840</w:t>
            </w:r>
          </w:p>
        </w:tc>
        <w:tc>
          <w:tcPr>
            <w:tcW w:type="dxa" w:w="1728"/>
          </w:tcPr>
          <w:p>
            <w:r>
              <w:t>10.620</w:t>
            </w:r>
          </w:p>
        </w:tc>
        <w:tc>
          <w:tcPr>
            <w:tcW w:type="dxa" w:w="1728"/>
          </w:tcPr>
          <w:p>
            <w:r>
              <w:t>-10,3 %</w:t>
            </w:r>
          </w:p>
        </w:tc>
      </w:tr>
      <w:tr>
        <w:tc>
          <w:tcPr>
            <w:tcW w:type="dxa" w:w="1728"/>
          </w:tcPr>
          <w:p>
            <w:r>
              <w:t>Wasser (m3)</w:t>
            </w:r>
          </w:p>
        </w:tc>
        <w:tc>
          <w:tcPr>
            <w:tcW w:type="dxa" w:w="1728"/>
          </w:tcPr>
          <w:p>
            <w:r>
              <w:t>5.640</w:t>
            </w:r>
          </w:p>
        </w:tc>
        <w:tc>
          <w:tcPr>
            <w:tcW w:type="dxa" w:w="1728"/>
          </w:tcPr>
          <w:p>
            <w:r>
              <w:t>5.120</w:t>
            </w:r>
          </w:p>
        </w:tc>
        <w:tc>
          <w:tcPr>
            <w:tcW w:type="dxa" w:w="1728"/>
          </w:tcPr>
          <w:p>
            <w:r>
              <w:t>4.840</w:t>
            </w:r>
          </w:p>
        </w:tc>
        <w:tc>
          <w:tcPr>
            <w:tcW w:type="dxa" w:w="1728"/>
          </w:tcPr>
          <w:p>
            <w:r>
              <w:t>-5,5 %</w:t>
            </w:r>
          </w:p>
        </w:tc>
      </w:tr>
      <w:tr>
        <w:tc>
          <w:tcPr>
            <w:tcW w:type="dxa" w:w="1728"/>
          </w:tcPr>
          <w:p>
            <w:r>
              <w:t>Energiekosten gesamt (TEUR)</w:t>
            </w:r>
          </w:p>
        </w:tc>
        <w:tc>
          <w:tcPr>
            <w:tcW w:type="dxa" w:w="1728"/>
          </w:tcPr>
          <w:p>
            <w:r>
              <w:t>354</w:t>
            </w:r>
          </w:p>
        </w:tc>
        <w:tc>
          <w:tcPr>
            <w:tcW w:type="dxa" w:w="1728"/>
          </w:tcPr>
          <w:p>
            <w:r>
              <w:t>362</w:t>
            </w:r>
          </w:p>
        </w:tc>
        <w:tc>
          <w:tcPr>
            <w:tcW w:type="dxa" w:w="1728"/>
          </w:tcPr>
          <w:p>
            <w:r>
              <w:t>318</w:t>
            </w:r>
          </w:p>
        </w:tc>
        <w:tc>
          <w:tcPr>
            <w:tcW w:type="dxa" w:w="1728"/>
          </w:tcPr>
          <w:p>
            <w:r>
              <w:t>-12,2 %</w:t>
            </w:r>
          </w:p>
        </w:tc>
      </w:tr>
    </w:tbl>
    <w:p>
      <w:pPr>
        <w:pStyle w:val="Heading3"/>
      </w:pPr>
      <w:r>
        <w:t>Massnahmen mit Wirkung</w:t>
      </w:r>
    </w:p>
    <w:p>
      <w:pPr>
        <w:pStyle w:val="ListBullet"/>
      </w:pPr>
      <w:r>
        <w:t>LED-Umruestung Halle A (Phase 2), Einsparung 42 MWh/a.</w:t>
      </w:r>
    </w:p>
    <w:p>
      <w:pPr>
        <w:pStyle w:val="ListBullet"/>
      </w:pPr>
      <w:r>
        <w:t>Druckluft-Leckage-Programm, Einsparung 28 MWh/a.</w:t>
      </w:r>
    </w:p>
    <w:p>
      <w:pPr>
        <w:pStyle w:val="ListBullet"/>
      </w:pPr>
      <w:r>
        <w:t>Optimierung Heizungssteuerung Verwaltungsgebaeude, 55 MWh/a.</w:t>
      </w:r>
    </w:p>
    <w:p>
      <w:pPr>
        <w:pStyle w:val="ListBullet"/>
      </w:pPr>
      <w:r>
        <w:t>Erhoehung Effizienz Wasserkreislauf Kuehlung, -8 % Wasser.</w:t>
      </w:r>
    </w:p>
    <w:p>
      <w:pPr>
        <w:pStyle w:val="Heading3"/>
      </w:pPr>
      <w:r>
        <w:t>Verbrauchsprofile</w:t>
      </w:r>
    </w:p>
    <w:tbl>
      <w:tblPr>
        <w:tblStyle w:val="TableGrid"/>
        <w:tblW w:type="auto" w:w="0"/>
        <w:tblLook w:firstColumn="1" w:firstRow="1" w:lastColumn="0" w:lastRow="0" w:noHBand="0" w:noVBand="1" w:val="04A0"/>
      </w:tblPr>
      <w:tblGrid>
        <w:gridCol w:w="4320"/>
        <w:gridCol w:w="4320"/>
      </w:tblGrid>
      <w:tr>
        <w:tc>
          <w:tcPr>
            <w:tcW w:type="dxa" w:w="4320"/>
          </w:tcPr>
          <w:p>
            <w:r>
              <w:t>Bereich</w:t>
            </w:r>
          </w:p>
        </w:tc>
        <w:tc>
          <w:tcPr>
            <w:tcW w:type="dxa" w:w="4320"/>
          </w:tcPr>
          <w:p>
            <w:r>
              <w:t>Stromanteil 2023</w:t>
            </w:r>
          </w:p>
        </w:tc>
      </w:tr>
      <w:tr>
        <w:tc>
          <w:tcPr>
            <w:tcW w:type="dxa" w:w="4320"/>
          </w:tcPr>
          <w:p>
            <w:r>
              <w:t>CNC-Zerspanung Halle A</w:t>
            </w:r>
          </w:p>
        </w:tc>
        <w:tc>
          <w:tcPr>
            <w:tcW w:type="dxa" w:w="4320"/>
          </w:tcPr>
          <w:p>
            <w:r>
              <w:t>32 %</w:t>
            </w:r>
          </w:p>
        </w:tc>
      </w:tr>
      <w:tr>
        <w:tc>
          <w:tcPr>
            <w:tcW w:type="dxa" w:w="4320"/>
          </w:tcPr>
          <w:p>
            <w:r>
              <w:t>Laserschneiden / Pressen Halle B</w:t>
            </w:r>
          </w:p>
        </w:tc>
        <w:tc>
          <w:tcPr>
            <w:tcW w:type="dxa" w:w="4320"/>
          </w:tcPr>
          <w:p>
            <w:r>
              <w:t>41 %</w:t>
            </w:r>
          </w:p>
        </w:tc>
      </w:tr>
      <w:tr>
        <w:tc>
          <w:tcPr>
            <w:tcW w:type="dxa" w:w="4320"/>
          </w:tcPr>
          <w:p>
            <w:r>
              <w:t>Druckluft (Kompressorstation)</w:t>
            </w:r>
          </w:p>
        </w:tc>
        <w:tc>
          <w:tcPr>
            <w:tcW w:type="dxa" w:w="4320"/>
          </w:tcPr>
          <w:p>
            <w:r>
              <w:t>9 %</w:t>
            </w:r>
          </w:p>
        </w:tc>
      </w:tr>
      <w:tr>
        <w:tc>
          <w:tcPr>
            <w:tcW w:type="dxa" w:w="4320"/>
          </w:tcPr>
          <w:p>
            <w:r>
              <w:t>Beleuchtung</w:t>
            </w:r>
          </w:p>
        </w:tc>
        <w:tc>
          <w:tcPr>
            <w:tcW w:type="dxa" w:w="4320"/>
          </w:tcPr>
          <w:p>
            <w:r>
              <w:t>6 %</w:t>
            </w:r>
          </w:p>
        </w:tc>
      </w:tr>
      <w:tr>
        <w:tc>
          <w:tcPr>
            <w:tcW w:type="dxa" w:w="4320"/>
          </w:tcPr>
          <w:p>
            <w:r>
              <w:t>Verwaltungsgebaeude</w:t>
            </w:r>
          </w:p>
        </w:tc>
        <w:tc>
          <w:tcPr>
            <w:tcW w:type="dxa" w:w="4320"/>
          </w:tcPr>
          <w:p>
            <w:r>
              <w:t>8 %</w:t>
            </w:r>
          </w:p>
        </w:tc>
      </w:tr>
      <w:tr>
        <w:tc>
          <w:tcPr>
            <w:tcW w:type="dxa" w:w="4320"/>
          </w:tcPr>
          <w:p>
            <w:r>
              <w:t>Sonstige (Lager, Aussen)</w:t>
            </w:r>
          </w:p>
        </w:tc>
        <w:tc>
          <w:tcPr>
            <w:tcW w:type="dxa" w:w="4320"/>
          </w:tcPr>
          <w:p>
            <w:r>
              <w:t>4 %</w:t>
            </w:r>
          </w:p>
        </w:tc>
      </w:tr>
    </w:tbl>
    <w:p>
      <w:pPr>
        <w:pStyle w:val="Heading3"/>
      </w:pPr>
      <w:r>
        <w:t>Ausblick 2024</w:t>
      </w:r>
    </w:p>
    <w:p>
      <w:pPr>
        <w:pStyle w:val="ListBullet"/>
      </w:pPr>
      <w:r>
        <w:t>Inbetriebnahme PV-Anlage Halle B Sued (350 kWp) – Eigenverbrauch erwartet 280 MWh/a.</w:t>
      </w:r>
    </w:p>
    <w:p>
      <w:pPr>
        <w:pStyle w:val="ListBullet"/>
      </w:pPr>
      <w:r>
        <w:t>Wechsel auf zertifizierten Oekostrom (Naturstrom AG) zum 01.01.2025.</w:t>
      </w:r>
    </w:p>
    <w:p>
      <w:pPr>
        <w:pStyle w:val="ListBullet"/>
      </w:pPr>
      <w:r>
        <w:t>Pilot Spitzenlastmanagement gemeinsam mit RWE Trading (Demand Response).</w:t>
      </w:r>
    </w:p>
    <w:p>
      <w:pPr>
        <w:pStyle w:val="ListBullet"/>
      </w:pPr>
      <w:r>
        <w:t>Erweiterung der Energie-Submeter um 6 weitere Messpunkte (CNC-Linien).</w:t>
      </w:r>
    </w:p>
    <w:p>
      <w:pPr>
        <w:pStyle w:val="Heading3"/>
      </w:pPr>
      <w:r>
        <w:t>Freigabe</w:t>
      </w:r>
    </w:p>
    <w:p>
      <w:r>
        <w:t>Analyse freigegeben durch Sandra Becker (CFO) und Markus Junker (Energiemanagement) am 22.02.2024. Verteiler: GF, Beirat, Betriebsrat.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