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Roadmap Internationalisierung 2025-2027</w:t>
      </w:r>
    </w:p>
    <w:p/>
    <w:p>
      <w:pPr>
        <w:pStyle w:val="Heading3"/>
      </w:pPr>
      <w:r>
        <w:t>Strategischer Hintergrund</w:t>
      </w:r>
    </w:p>
    <w:p>
      <w:r>
        <w:t>Die Roadmap Internationalisierung 2025-2027 beschreibt die geplante geografische Ausweitung der Vertriebs- und Servicestrukturen der Halbreiter Maschinenbau GmbH. Der bisherige Auslandsanteil von rund 32 % am Umsatz soll bis 2027 auf 42 % erhoeht werden. Schwerpunkte: Europa (Sued, CEE), Asien (CN, IN), USA.</w:t>
      </w:r>
    </w:p>
    <w:p>
      <w:pPr>
        <w:pStyle w:val="Heading3"/>
      </w:pPr>
      <w:r>
        <w:t>Phasenplan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Zeitraum</w:t>
            </w:r>
          </w:p>
        </w:tc>
        <w:tc>
          <w:tcPr>
            <w:tcW w:type="dxa" w:w="2880"/>
          </w:tcPr>
          <w:p>
            <w:r>
              <w:t>Massnahme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Q1-Q4 2025</w:t>
            </w:r>
          </w:p>
        </w:tc>
        <w:tc>
          <w:tcPr>
            <w:tcW w:type="dxa" w:w="2880"/>
          </w:tcPr>
          <w:p>
            <w:r>
              <w:t>Aufbau Vertretungsbuero CZ (Brno) mit 2 Sales/Service-FTE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Q2-Q4 2025</w:t>
            </w:r>
          </w:p>
        </w:tc>
        <w:tc>
          <w:tcPr>
            <w:tcW w:type="dxa" w:w="2880"/>
          </w:tcPr>
          <w:p>
            <w:r>
              <w:t>Service-Stuetzpunkt Italien (Mailand) via Distributor M-Tec srl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Q1-Q2 2026</w:t>
            </w:r>
          </w:p>
        </w:tc>
        <w:tc>
          <w:tcPr>
            <w:tcW w:type="dxa" w:w="2880"/>
          </w:tcPr>
          <w:p>
            <w:r>
              <w:t>Vertriebsbuero China (Shanghai) ueber Joint-Venture mit lokalem Partner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  <w:tc>
          <w:tcPr>
            <w:tcW w:type="dxa" w:w="2880"/>
          </w:tcPr>
          <w:p>
            <w:r>
              <w:t>Erschliessung indischer Markt (Pune) ueber Distributor Schunk India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Q1-Q3 2027</w:t>
            </w:r>
          </w:p>
        </w:tc>
        <w:tc>
          <w:tcPr>
            <w:tcW w:type="dxa" w:w="2880"/>
          </w:tcPr>
          <w:p>
            <w:r>
              <w:t>USA Vertriebskooperation (Joint Sales) mit US-Servicepartner</w:t>
            </w:r>
          </w:p>
        </w:tc>
      </w:tr>
    </w:tbl>
    <w:p>
      <w:pPr>
        <w:pStyle w:val="Heading3"/>
      </w:pPr>
      <w:r>
        <w:t>Zielkennzahlen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Kennzahl</w:t>
            </w:r>
          </w:p>
        </w:tc>
        <w:tc>
          <w:tcPr>
            <w:tcW w:type="dxa" w:w="1728"/>
          </w:tcPr>
          <w:p>
            <w:r>
              <w:t>2024 (Ist Plan)</w:t>
            </w:r>
          </w:p>
        </w:tc>
        <w:tc>
          <w:tcPr>
            <w:tcW w:type="dxa" w:w="1728"/>
          </w:tcPr>
          <w:p>
            <w:r>
              <w:t>2025e</w:t>
            </w:r>
          </w:p>
        </w:tc>
        <w:tc>
          <w:tcPr>
            <w:tcW w:type="dxa" w:w="1728"/>
          </w:tcPr>
          <w:p>
            <w:r>
              <w:t>2026e</w:t>
            </w:r>
          </w:p>
        </w:tc>
        <w:tc>
          <w:tcPr>
            <w:tcW w:type="dxa" w:w="1728"/>
          </w:tcPr>
          <w:p>
            <w:r>
              <w:t>2027e</w:t>
            </w:r>
          </w:p>
        </w:tc>
      </w:tr>
      <w:tr>
        <w:tc>
          <w:tcPr>
            <w:tcW w:type="dxa" w:w="1728"/>
          </w:tcPr>
          <w:p>
            <w:r>
              <w:t>Umsatz Gesamt</w:t>
            </w:r>
          </w:p>
        </w:tc>
        <w:tc>
          <w:tcPr>
            <w:tcW w:type="dxa" w:w="1728"/>
          </w:tcPr>
          <w:p>
            <w:r>
              <w:t>52,5</w:t>
            </w:r>
          </w:p>
        </w:tc>
        <w:tc>
          <w:tcPr>
            <w:tcW w:type="dxa" w:w="1728"/>
          </w:tcPr>
          <w:p>
            <w:r>
              <w:t>57,0</w:t>
            </w:r>
          </w:p>
        </w:tc>
        <w:tc>
          <w:tcPr>
            <w:tcW w:type="dxa" w:w="1728"/>
          </w:tcPr>
          <w:p>
            <w:r>
              <w:t>62,0</w:t>
            </w:r>
          </w:p>
        </w:tc>
        <w:tc>
          <w:tcPr>
            <w:tcW w:type="dxa" w:w="1728"/>
          </w:tcPr>
          <w:p>
            <w:r>
              <w:t>68,0</w:t>
            </w:r>
          </w:p>
        </w:tc>
      </w:tr>
      <w:tr>
        <w:tc>
          <w:tcPr>
            <w:tcW w:type="dxa" w:w="1728"/>
          </w:tcPr>
          <w:p>
            <w:r>
              <w:t>davon Auslandsanteil</w:t>
            </w:r>
          </w:p>
        </w:tc>
        <w:tc>
          <w:tcPr>
            <w:tcW w:type="dxa" w:w="1728"/>
          </w:tcPr>
          <w:p>
            <w:r>
              <w:t>33 %</w:t>
            </w:r>
          </w:p>
        </w:tc>
        <w:tc>
          <w:tcPr>
            <w:tcW w:type="dxa" w:w="1728"/>
          </w:tcPr>
          <w:p>
            <w:r>
              <w:t>36 %</w:t>
            </w:r>
          </w:p>
        </w:tc>
        <w:tc>
          <w:tcPr>
            <w:tcW w:type="dxa" w:w="1728"/>
          </w:tcPr>
          <w:p>
            <w:r>
              <w:t>39 %</w:t>
            </w:r>
          </w:p>
        </w:tc>
        <w:tc>
          <w:tcPr>
            <w:tcW w:type="dxa" w:w="1728"/>
          </w:tcPr>
          <w:p>
            <w:r>
              <w:t>42 %</w:t>
            </w:r>
          </w:p>
        </w:tc>
      </w:tr>
      <w:tr>
        <w:tc>
          <w:tcPr>
            <w:tcW w:type="dxa" w:w="1728"/>
          </w:tcPr>
          <w:p>
            <w:r>
              <w:t>Auslaendische Mitarbeiter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Anzahl Distributoren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</w:tbl>
    <w:p>
      <w:pPr>
        <w:pStyle w:val="Heading3"/>
      </w:pPr>
      <w:r>
        <w:t>Risiken und Mitigation</w:t>
      </w:r>
    </w:p>
    <w:p>
      <w:pPr>
        <w:pStyle w:val="ListBullet"/>
      </w:pPr>
      <w:r>
        <w:t>Politische / regulatorische Risiken CN / IN: enge Begleitung durch Compliance + BAFA.</w:t>
      </w:r>
    </w:p>
    <w:p>
      <w:pPr>
        <w:pStyle w:val="ListBullet"/>
      </w:pPr>
      <w:r>
        <w:t>Fachkraefte-Engpass: gezielte Recruiting-Kampagne ab Q4/2024.</w:t>
      </w:r>
    </w:p>
    <w:p>
      <w:pPr>
        <w:pStyle w:val="ListBullet"/>
      </w:pPr>
      <w:r>
        <w:t>Waehrungsrisiko: Erweiterung des Hedging-Programms in Abstimmung mit Deutsche Bank.</w:t>
      </w:r>
    </w:p>
    <w:p>
      <w:pPr>
        <w:pStyle w:val="ListBullet"/>
      </w:pPr>
      <w:r>
        <w:t>Rechtsrisiko Auslandsgesellschaften: lokale Anwaelte und Joint-Venture-Strukturen pruefen.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Q3/2024: Investmentvorlage »CZ-Buero Brno« an Beirat.</w:t>
      </w:r>
    </w:p>
    <w:p>
      <w:pPr>
        <w:pStyle w:val="ListBullet"/>
      </w:pPr>
      <w:r>
        <w:t>Q4/2024: Auswahl Joint-Venture-Partner China (Shortlist 3).</w:t>
      </w:r>
    </w:p>
    <w:p>
      <w:pPr>
        <w:pStyle w:val="ListBullet"/>
      </w:pPr>
      <w:r>
        <w:t>Q1/2025: Erste Stellenausschreibungen Vertretungsbuero CZ.</w:t>
      </w:r>
    </w:p>
    <w:p>
      <w:pPr>
        <w:pStyle w:val="Heading3"/>
      </w:pPr>
      <w:r>
        <w:t>Freigabe</w:t>
      </w:r>
    </w:p>
    <w:p>
      <w:r>
        <w:t>Beirat hat die Roadmap am 14.03.2024 zur Kenntnis genommen und befuerwortet. Detailplanung erfolgt durch Klaus Mueller (CEO) gemeinsam mit Sandra Becker (CFO).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