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SWOT-Analyse 2024</w:t>
      </w:r>
    </w:p>
    <w:p/>
    <w:p>
      <w:pPr>
        <w:pStyle w:val="Heading3"/>
      </w:pPr>
      <w:r>
        <w:t>Zweck</w:t>
      </w:r>
    </w:p>
    <w:p>
      <w:r>
        <w:t>Die SWOT-Analyse 2024 dient als Grundlage fuer die strategische Planung der Halbreiter Maschinenbau GmbH und fliesst in die Beiratssitzung Q1/2024 sowie in die Roadmap Internationalisierung 2025-2027 ein. Aktualisierung erfolgt jaehrlich oder bei wesentlichen Veraenderungen des Marktumfeldes.</w:t>
      </w:r>
    </w:p>
    <w:p>
      <w:pPr>
        <w:pStyle w:val="Heading3"/>
      </w:pPr>
      <w:r>
        <w:t>Strengths (Staerken)</w:t>
      </w:r>
    </w:p>
    <w:p>
      <w:pPr>
        <w:pStyle w:val="ListBullet"/>
      </w:pPr>
      <w:r>
        <w:t>Hohe Produktqualitaet (Kundenzufriedenheit 4,4/5; siehe Ordner 04).</w:t>
      </w:r>
    </w:p>
    <w:p>
      <w:pPr>
        <w:pStyle w:val="ListBullet"/>
      </w:pPr>
      <w:r>
        <w:t>Patentierte Werkzeugschnellwechsel-Technologie PL-500 (Differenzierung im Wettbewerb).</w:t>
      </w:r>
    </w:p>
    <w:p>
      <w:pPr>
        <w:pStyle w:val="ListBullet"/>
      </w:pPr>
      <w:r>
        <w:t>Stabile Top-5-Kundenbasis mit langfristigen Rahmenvertraegen (58 % Umsatz).</w:t>
      </w:r>
    </w:p>
    <w:p>
      <w:pPr>
        <w:pStyle w:val="ListBullet"/>
      </w:pPr>
      <w:r>
        <w:t>Engagiertes Engineering-Team und Netzwerk zur RWTH Aachen (Lehrstuhl PtU).</w:t>
      </w:r>
    </w:p>
    <w:p>
      <w:pPr>
        <w:pStyle w:val="ListBullet"/>
      </w:pPr>
      <w:r>
        <w:t>Solide Eigenkapitalquote 38,4 %; gute Bonitaet bei Hausbank Deutsche Bank.</w:t>
      </w:r>
    </w:p>
    <w:p>
      <w:pPr>
        <w:pStyle w:val="Heading3"/>
      </w:pPr>
      <w:r>
        <w:t>Weaknesses (Schwaechen)</w:t>
      </w:r>
    </w:p>
    <w:p>
      <w:pPr>
        <w:pStyle w:val="ListBullet"/>
      </w:pPr>
      <w:r>
        <w:t>Kundenkonzentration Top-5 (58 %) erhoeht Abhaengigkeit.</w:t>
      </w:r>
    </w:p>
    <w:p>
      <w:pPr>
        <w:pStyle w:val="ListBullet"/>
      </w:pPr>
      <w:r>
        <w:t>Auslandsanteil mit 32 % unter Branchendurchschnitt.</w:t>
      </w:r>
    </w:p>
    <w:p>
      <w:pPr>
        <w:pStyle w:val="ListBullet"/>
      </w:pPr>
      <w:r>
        <w:t>Verteilte Engineering-Datenhaltung (PDM-Konsolidierung erst in Arbeit).</w:t>
      </w:r>
    </w:p>
    <w:p>
      <w:pPr>
        <w:pStyle w:val="ListBullet"/>
      </w:pPr>
      <w:r>
        <w:t>Fachkraeftesituation CNC-Zerspaner / Mechatroniker angespannt.</w:t>
      </w:r>
    </w:p>
    <w:p>
      <w:pPr>
        <w:pStyle w:val="ListBullet"/>
      </w:pPr>
      <w:r>
        <w:t>Begrenzte digitale Service-Angebote (Customer-Portal v1).</w:t>
      </w:r>
    </w:p>
    <w:p>
      <w:pPr>
        <w:pStyle w:val="Heading3"/>
      </w:pPr>
      <w:r>
        <w:t>Opportunities (Chancen)</w:t>
      </w:r>
    </w:p>
    <w:p>
      <w:pPr>
        <w:pStyle w:val="ListBullet"/>
      </w:pPr>
      <w:r>
        <w:t>Wachstumsmaerkte Asien (Industrie 4.0) und CEE (Reshoring).</w:t>
      </w:r>
    </w:p>
    <w:p>
      <w:pPr>
        <w:pStyle w:val="ListBullet"/>
      </w:pPr>
      <w:r>
        <w:t>KI-/Edge-Loesungen (mit RWTH) als Premium-Differenzierung.</w:t>
      </w:r>
    </w:p>
    <w:p>
      <w:pPr>
        <w:pStyle w:val="ListBullet"/>
      </w:pPr>
      <w:r>
        <w:t>Service-Geschaeft (Predictive Maintenance) ausbauen.</w:t>
      </w:r>
    </w:p>
    <w:p>
      <w:pPr>
        <w:pStyle w:val="ListBullet"/>
      </w:pPr>
      <w:r>
        <w:t>Foerderprogramme BMWK/ZIM fuer KI-Pressen.</w:t>
      </w:r>
    </w:p>
    <w:p>
      <w:pPr>
        <w:pStyle w:val="ListBullet"/>
      </w:pPr>
      <w:r>
        <w:t>Energie-Effizienz / Eigenstrom-PV als Kosten- und Marketingvorteil.</w:t>
      </w:r>
    </w:p>
    <w:p>
      <w:pPr>
        <w:pStyle w:val="Heading3"/>
      </w:pPr>
      <w:r>
        <w:t>Threats (Risiken)</w:t>
      </w:r>
    </w:p>
    <w:p>
      <w:pPr>
        <w:pStyle w:val="ListBullet"/>
      </w:pPr>
      <w:r>
        <w:t>Konjunkturschwaeche im Maschinenbau, Auftragseingang volatil.</w:t>
      </w:r>
    </w:p>
    <w:p>
      <w:pPr>
        <w:pStyle w:val="ListBullet"/>
      </w:pPr>
      <w:r>
        <w:t>Stahl- und Energiepreis-Volatilitaet.</w:t>
      </w:r>
    </w:p>
    <w:p>
      <w:pPr>
        <w:pStyle w:val="ListBullet"/>
      </w:pPr>
      <w:r>
        <w:t>Asiatische Wettbewerber mit aggressiver Preispolitik (insb. CN-Hersteller).</w:t>
      </w:r>
    </w:p>
    <w:p>
      <w:pPr>
        <w:pStyle w:val="ListBullet"/>
      </w:pPr>
      <w:r>
        <w:t>Regulatorische Anforderungen (CSRD, CBAM, LkSG) erhoehen Bueroaufwand.</w:t>
      </w:r>
    </w:p>
    <w:p>
      <w:pPr>
        <w:pStyle w:val="ListBullet"/>
      </w:pPr>
      <w:r>
        <w:t>Cyber-Risiken durch erweiterte Cloud- und OT-Schnittstellen.</w:t>
      </w:r>
    </w:p>
    <w:p>
      <w:pPr>
        <w:pStyle w:val="Heading3"/>
      </w:pPr>
      <w:r>
        <w:t>Strategische Schlussfolgerungen</w:t>
      </w:r>
    </w:p>
    <w:p>
      <w:pPr>
        <w:pStyle w:val="ListBullet"/>
      </w:pPr>
      <w:r>
        <w:t>Reduktion Kundenkonzentration durch Neukundenakquise (Pharma-, Lebensmittel-Branchen).</w:t>
      </w:r>
    </w:p>
    <w:p>
      <w:pPr>
        <w:pStyle w:val="ListBullet"/>
      </w:pPr>
      <w:r>
        <w:t>Auslandsanteil bis 2027 auf 42 % steigern (siehe Roadmap Internationalisierung).</w:t>
      </w:r>
    </w:p>
    <w:p>
      <w:pPr>
        <w:pStyle w:val="ListBullet"/>
      </w:pPr>
      <w:r>
        <w:t>PDM-Konsolidierung beschleunigen; Digital Twin Pilot PL-500 erfolgreich abschliessen.</w:t>
      </w:r>
    </w:p>
    <w:p>
      <w:pPr>
        <w:pStyle w:val="ListBullet"/>
      </w:pPr>
      <w:r>
        <w:t>Energie- und Nachhaltigkeitsprofil staerken (PV, Oekostrom, CSRD-Reporting).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