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Wettbewerbsanalyse 2024 – Pressen- und Sondermaschinenbau</w:t>
      </w:r>
    </w:p>
    <w:p/>
    <w:p>
      <w:pPr>
        <w:pStyle w:val="Heading3"/>
      </w:pPr>
      <w:r>
        <w:t>Zweck und Methodik</w:t>
      </w:r>
    </w:p>
    <w:p>
      <w:r>
        <w:t>Diese Wettbewerbsanalyse beleuchtet die Marktposition der Halbreiter Maschinenbau GmbH im Segment »Pressen- und Sondermaschinenbau«. Datengrundlage: Branchenstudien VDMA 2023, Geschaeftsberichte der Wettbewerber, Kundeninterviews (Q4/2023), Messeauftritte EMO 2023 / Blechexpo 2023.</w:t>
      </w:r>
    </w:p>
    <w:p>
      <w:pPr>
        <w:pStyle w:val="Heading3"/>
      </w:pPr>
      <w:r>
        <w:t>Hauptwettbewerber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Wettbewerber</w:t>
            </w:r>
          </w:p>
        </w:tc>
        <w:tc>
          <w:tcPr>
            <w:tcW w:type="dxa" w:w="1728"/>
          </w:tcPr>
          <w:p>
            <w:r>
              <w:t>Sitz</w:t>
            </w:r>
          </w:p>
        </w:tc>
        <w:tc>
          <w:tcPr>
            <w:tcW w:type="dxa" w:w="1728"/>
          </w:tcPr>
          <w:p>
            <w:r>
              <w:t>Umsatz 2023 (Mio. EUR)</w:t>
            </w:r>
          </w:p>
        </w:tc>
        <w:tc>
          <w:tcPr>
            <w:tcW w:type="dxa" w:w="1728"/>
          </w:tcPr>
          <w:p>
            <w:r>
              <w:t>Hauptprodukt</w:t>
            </w:r>
          </w:p>
        </w:tc>
        <w:tc>
          <w:tcPr>
            <w:tcW w:type="dxa" w:w="1728"/>
          </w:tcPr>
          <w:p>
            <w:r>
              <w:t>Positionierung</w:t>
            </w:r>
          </w:p>
        </w:tc>
      </w:tr>
      <w:tr>
        <w:tc>
          <w:tcPr>
            <w:tcW w:type="dxa" w:w="1728"/>
          </w:tcPr>
          <w:p>
            <w:r>
              <w:t>Schuler AG</w:t>
            </w:r>
          </w:p>
        </w:tc>
        <w:tc>
          <w:tcPr>
            <w:tcW w:type="dxa" w:w="1728"/>
          </w:tcPr>
          <w:p>
            <w:r>
              <w:t>Goeppingen</w:t>
            </w:r>
          </w:p>
        </w:tc>
        <w:tc>
          <w:tcPr>
            <w:tcW w:type="dxa" w:w="1728"/>
          </w:tcPr>
          <w:p>
            <w:r>
              <w:t>&gt;1.200</w:t>
            </w:r>
          </w:p>
        </w:tc>
        <w:tc>
          <w:tcPr>
            <w:tcW w:type="dxa" w:w="1728"/>
          </w:tcPr>
          <w:p>
            <w:r>
              <w:t>Pressen (Servo, Hydraulik)</w:t>
            </w:r>
          </w:p>
        </w:tc>
        <w:tc>
          <w:tcPr>
            <w:tcW w:type="dxa" w:w="1728"/>
          </w:tcPr>
          <w:p>
            <w:r>
              <w:t>Marktfuehrer DE</w:t>
            </w:r>
          </w:p>
        </w:tc>
      </w:tr>
      <w:tr>
        <w:tc>
          <w:tcPr>
            <w:tcW w:type="dxa" w:w="1728"/>
          </w:tcPr>
          <w:p>
            <w:r>
              <w:t>Halbreiter Maschinenbau GmbH</w:t>
            </w:r>
          </w:p>
        </w:tc>
        <w:tc>
          <w:tcPr>
            <w:tcW w:type="dxa" w:w="1728"/>
          </w:tcPr>
          <w:p>
            <w:r>
              <w:t>Koeln</w:t>
            </w:r>
          </w:p>
        </w:tc>
        <w:tc>
          <w:tcPr>
            <w:tcW w:type="dxa" w:w="1728"/>
          </w:tcPr>
          <w:p>
            <w:r>
              <w:t>48,6</w:t>
            </w:r>
          </w:p>
        </w:tc>
        <w:tc>
          <w:tcPr>
            <w:tcW w:type="dxa" w:w="1728"/>
          </w:tcPr>
          <w:p>
            <w:r>
              <w:t>PL-500, FB-200</w:t>
            </w:r>
          </w:p>
        </w:tc>
        <w:tc>
          <w:tcPr>
            <w:tcW w:type="dxa" w:w="1728"/>
          </w:tcPr>
          <w:p>
            <w:r>
              <w:t>Premium Nischen</w:t>
            </w:r>
          </w:p>
        </w:tc>
      </w:tr>
      <w:tr>
        <w:tc>
          <w:tcPr>
            <w:tcW w:type="dxa" w:w="1728"/>
          </w:tcPr>
          <w:p>
            <w:r>
              <w:t>Fagor Arrasate</w:t>
            </w:r>
          </w:p>
        </w:tc>
        <w:tc>
          <w:tcPr>
            <w:tcW w:type="dxa" w:w="1728"/>
          </w:tcPr>
          <w:p>
            <w:r>
              <w:t>Spanien</w:t>
            </w:r>
          </w:p>
        </w:tc>
        <w:tc>
          <w:tcPr>
            <w:tcW w:type="dxa" w:w="1728"/>
          </w:tcPr>
          <w:p>
            <w:r>
              <w:t>Ca. 280</w:t>
            </w:r>
          </w:p>
        </w:tc>
        <w:tc>
          <w:tcPr>
            <w:tcW w:type="dxa" w:w="1728"/>
          </w:tcPr>
          <w:p>
            <w:r>
              <w:t>Pressen</w:t>
            </w:r>
          </w:p>
        </w:tc>
        <w:tc>
          <w:tcPr>
            <w:tcW w:type="dxa" w:w="1728"/>
          </w:tcPr>
          <w:p>
            <w:r>
              <w:t>Wettbewerber Sued-EU</w:t>
            </w:r>
          </w:p>
        </w:tc>
      </w:tr>
      <w:tr>
        <w:tc>
          <w:tcPr>
            <w:tcW w:type="dxa" w:w="1728"/>
          </w:tcPr>
          <w:p>
            <w:r>
              <w:t>AIDA Engineering</w:t>
            </w:r>
          </w:p>
        </w:tc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Ca. 750</w:t>
            </w:r>
          </w:p>
        </w:tc>
        <w:tc>
          <w:tcPr>
            <w:tcW w:type="dxa" w:w="1728"/>
          </w:tcPr>
          <w:p>
            <w:r>
              <w:t>Servo-Pressen</w:t>
            </w:r>
          </w:p>
        </w:tc>
        <w:tc>
          <w:tcPr>
            <w:tcW w:type="dxa" w:w="1728"/>
          </w:tcPr>
          <w:p>
            <w:r>
              <w:t>Asien-stark</w:t>
            </w:r>
          </w:p>
        </w:tc>
      </w:tr>
      <w:tr>
        <w:tc>
          <w:tcPr>
            <w:tcW w:type="dxa" w:w="1728"/>
          </w:tcPr>
          <w:p>
            <w:r>
              <w:t>Komatsu Industries</w:t>
            </w:r>
          </w:p>
        </w:tc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Ca. 600</w:t>
            </w:r>
          </w:p>
        </w:tc>
        <w:tc>
          <w:tcPr>
            <w:tcW w:type="dxa" w:w="1728"/>
          </w:tcPr>
          <w:p>
            <w:r>
              <w:t>Pressen</w:t>
            </w:r>
          </w:p>
        </w:tc>
        <w:tc>
          <w:tcPr>
            <w:tcW w:type="dxa" w:w="1728"/>
          </w:tcPr>
          <w:p>
            <w:r>
              <w:t>Asien</w:t>
            </w:r>
          </w:p>
        </w:tc>
      </w:tr>
      <w:tr>
        <w:tc>
          <w:tcPr>
            <w:tcW w:type="dxa" w:w="1728"/>
          </w:tcPr>
          <w:p>
            <w:r>
              <w:t>Stamag GmbH</w:t>
            </w:r>
          </w:p>
        </w:tc>
        <w:tc>
          <w:tcPr>
            <w:tcW w:type="dxa" w:w="1728"/>
          </w:tcPr>
          <w:p>
            <w:r>
              <w:t>Aachen</w:t>
            </w:r>
          </w:p>
        </w:tc>
        <w:tc>
          <w:tcPr>
            <w:tcW w:type="dxa" w:w="1728"/>
          </w:tcPr>
          <w:p>
            <w:r>
              <w:t>Ca. 35</w:t>
            </w:r>
          </w:p>
        </w:tc>
        <w:tc>
          <w:tcPr>
            <w:tcW w:type="dxa" w:w="1728"/>
          </w:tcPr>
          <w:p>
            <w:r>
              <w:t>Sondermaschinen</w:t>
            </w:r>
          </w:p>
        </w:tc>
        <w:tc>
          <w:tcPr>
            <w:tcW w:type="dxa" w:w="1728"/>
          </w:tcPr>
          <w:p>
            <w:r>
              <w:t>DE-Wettbewerber</w:t>
            </w:r>
          </w:p>
        </w:tc>
      </w:tr>
    </w:tbl>
    <w:p>
      <w:pPr>
        <w:pStyle w:val="Heading3"/>
      </w:pPr>
      <w:r>
        <w:t>Differenzierungsmerkmale MMB</w:t>
      </w:r>
    </w:p>
    <w:p>
      <w:pPr>
        <w:pStyle w:val="ListBullet"/>
      </w:pPr>
      <w:r>
        <w:t>Patentiertes Schnellwechselsystem (Werkzeugwechsel &lt; 2 min).</w:t>
      </w:r>
    </w:p>
    <w:p>
      <w:pPr>
        <w:pStyle w:val="ListBullet"/>
      </w:pPr>
      <w:r>
        <w:t>KI-Modul »Adaptive Process Control« (Lizenz RWTH Aachen).</w:t>
      </w:r>
    </w:p>
    <w:p>
      <w:pPr>
        <w:pStyle w:val="ListBullet"/>
      </w:pPr>
      <w:r>
        <w:t>Hohe Kundenorientierung und Customizing-Faehigkeit fuer Sondermaschinen.</w:t>
      </w:r>
    </w:p>
    <w:p>
      <w:pPr>
        <w:pStyle w:val="ListBullet"/>
      </w:pPr>
      <w:r>
        <w:t>Service- und Wartungsnetz im DACH-Raum mit Reaktionszeit &lt; 24 h.</w:t>
      </w:r>
    </w:p>
    <w:p>
      <w:pPr>
        <w:pStyle w:val="Heading3"/>
      </w:pPr>
      <w:r>
        <w:t>Trends im Marktumfeld</w:t>
      </w:r>
    </w:p>
    <w:p>
      <w:pPr>
        <w:pStyle w:val="ListBullet"/>
      </w:pPr>
      <w:r>
        <w:t>Verschiebung zu Servo-Pressen (Energieeffizienz, Steuerbarkeit).</w:t>
      </w:r>
    </w:p>
    <w:p>
      <w:pPr>
        <w:pStyle w:val="ListBullet"/>
      </w:pPr>
      <w:r>
        <w:t>Predictive Maintenance / Digital Twin als Kundenanforderung.</w:t>
      </w:r>
    </w:p>
    <w:p>
      <w:pPr>
        <w:pStyle w:val="ListBullet"/>
      </w:pPr>
      <w:r>
        <w:t>Nachhaltigkeits-/CO2-Bilanzen als Beschaffungskriterium (insbesondere OEM).</w:t>
      </w:r>
    </w:p>
    <w:p>
      <w:pPr>
        <w:pStyle w:val="ListBullet"/>
      </w:pPr>
      <w:r>
        <w:t>Asiatische Hersteller draengen mit aggressiver Preisstrategie nach Europa.</w:t>
      </w:r>
    </w:p>
    <w:p>
      <w:pPr>
        <w:pStyle w:val="ListBullet"/>
      </w:pPr>
      <w:r>
        <w:t>Reshoring-Trend in CEE verstaerkt Investitionsneigung in 2025-2026.</w:t>
      </w:r>
    </w:p>
    <w:p>
      <w:pPr>
        <w:pStyle w:val="Heading3"/>
      </w:pPr>
      <w:r>
        <w:t>Strategische Empfehlungen</w:t>
      </w:r>
    </w:p>
    <w:p>
      <w:pPr>
        <w:pStyle w:val="ListBullet"/>
      </w:pPr>
      <w:r>
        <w:t>Verstaerkter Fokus auf KI- und Digital-Twin-Loesungen als Wettbewerbsvorteil.</w:t>
      </w:r>
    </w:p>
    <w:p>
      <w:pPr>
        <w:pStyle w:val="ListBullet"/>
      </w:pPr>
      <w:r>
        <w:t>Aufbau Service-Stuetzpunkt CEE (siehe Roadmap Internationalisierung).</w:t>
      </w:r>
    </w:p>
    <w:p>
      <w:pPr>
        <w:pStyle w:val="ListBullet"/>
      </w:pPr>
      <w:r>
        <w:t>Kommunikation Patentschutz und FuE-Quote staerker im Marketing nutzen.</w:t>
      </w:r>
    </w:p>
    <w:p>
      <w:pPr>
        <w:pStyle w:val="ListBullet"/>
      </w:pPr>
      <w:r>
        <w:t>Selektive Preisanpassungen, jedoch Premium-Positionierung erhalten.</w:t>
      </w:r>
    </w:p>
    <w:p>
      <w:pPr>
        <w:pStyle w:val="Heading3"/>
      </w:pPr>
      <w:r>
        <w:t>Freigabe</w:t>
      </w:r>
    </w:p>
    <w:p>
      <w:r>
        <w:t>Analyse durchgefuehrt durch Klaus Mueller (CEO) gemeinsam mit Stefan Braun (Vertrieb). Stand: 06. Maerz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