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VERTRAULICH – STRENG VERTRAULICH / STRICTLY CONFIDENTIAL</w:t>
      </w:r>
    </w:p>
    <w:p>
      <w:pPr>
        <w:pStyle w:val="Heading1"/>
      </w:pPr>
      <w:r>
        <w:t>Brennhagen Elektronik AG</w:t>
      </w:r>
    </w:p>
    <w:p>
      <w:r>
        <w:rPr>
          <w:sz w:val="18"/>
        </w:rPr>
        <w:t>Vaihinger Straße 120, 70567 Stuttgart  |  HRB 726451</w:t>
      </w:r>
    </w:p>
    <w:p>
      <w:r>
        <w:t>────────────────────────────────────────────────────────────────────────────────</w:t>
      </w:r>
    </w:p>
    <w:p>
      <w:pPr>
        <w:pStyle w:val="Heading2"/>
      </w:pPr>
      <w:r>
        <w:t>Intercompany-Darlehensvertrag: Brennhagen Elektronik AG → Brennhagen Electronics (China) Ltd.</w:t>
      </w:r>
    </w:p>
    <w:p/>
    <w:p>
      <w:pPr>
        <w:pStyle w:val="Heading3"/>
      </w:pPr>
      <w:r>
        <w:t>Parteien</w:t>
      </w:r>
    </w:p>
    <w:p>
      <w:r>
        <w:t>Darlehensgeber: Brennhagen Elektronik AG</w:t>
        <w:br/>
        <w:t>Darlehensnehmer: Brennhagen Electronics (China) Ltd.</w:t>
      </w:r>
    </w:p>
    <w:p>
      <w:pPr>
        <w:pStyle w:val="Heading3"/>
      </w:pPr>
      <w:r>
        <w:t>§ 1 Darlehensbetrag</w:t>
      </w:r>
    </w:p>
    <w:p>
      <w:r>
        <w:t>(1) Der Darlehensgeber gewährt dem Darlehensnehmer ein Darlehen in Höhe von 8.000.000 € (nachfolgend &lt;&lt;Darlehensbetrag&lt;&lt;).</w:t>
      </w:r>
    </w:p>
    <w:p>
      <w:r>
        <w:t>(2) Der Darlehensbetrag wird auf das Konto des Darlehensnehmers innerhalb von fünf Werktagen nach Unterzeichnung ausgezahlt.</w:t>
      </w:r>
    </w:p>
    <w:p>
      <w:pPr>
        <w:pStyle w:val="Heading3"/>
      </w:pPr>
      <w:r>
        <w:t>§ 2 Zinsen</w:t>
      </w:r>
    </w:p>
    <w:p>
      <w:r>
        <w:t>(1) Das Darlehen ist mit 4,00 % p.a. zu verzinsen. Die Zinsen sind quartalsweise im Nachhinein fällig.</w:t>
      </w:r>
    </w:p>
    <w:p>
      <w:r>
        <w:t>(2) Der Zinssatz entspricht dem Fremdvergleichsgrundsatz gemäß § 1 AStG und wurde auf Basis eines Benchmarkings durch Deloitte GmbH WPG ermittelt.</w:t>
      </w:r>
    </w:p>
    <w:p>
      <w:pPr>
        <w:pStyle w:val="Heading3"/>
      </w:pPr>
      <w:r>
        <w:t>§ 3 Laufzeit und Rückzahlung</w:t>
      </w:r>
    </w:p>
    <w:p>
      <w:r>
        <w:t>(1) Das Darlehen wird auf unbestimmte Zeit gewährt und kann von beiden Seiten mit einer Frist von zwölf (12) Monaten zum Jahresende gekündigt werden.</w:t>
      </w:r>
    </w:p>
    <w:p>
      <w:r>
        <w:t>(2) Der Darlehensnehmer kann das Darlehen jederzeit ganz oder teilweise vorzeitig zurückzahlen.</w:t>
      </w:r>
    </w:p>
    <w:p>
      <w:pPr>
        <w:pStyle w:val="Heading3"/>
      </w:pPr>
      <w:r>
        <w:t>§ 4 Verwendungszweck</w:t>
      </w:r>
    </w:p>
    <w:p>
      <w:r>
        <w:t>Das Darlehen dient der Finanzierung von Betriebsmitteln und Investitionen im Rahmen des gewöhnlichen Geschäftsbetriebs des Darlehensnehmers (Vertrieb / Lokale Produktion).</w:t>
      </w:r>
    </w:p>
    <w:p>
      <w:r>
        <w:t>§ 16 Schlussbestimmungen</w:t>
      </w:r>
    </w:p>
    <w:p>
      <w:r>
        <w:t>(1) Dieser Vertrag unterliegt dem Recht der Bundesrepublik Deutschland unter Ausschluss des UN-Kaufrechts (CISG).</w:t>
      </w:r>
    </w:p>
    <w:p>
      <w:r>
        <w:t>(2) Ausschließlicher Gerichtsstand für alle Streitigkeiten aus oder im Zusammenhang mit diesem Vertrag ist Stuttgart.</w:t>
      </w:r>
    </w:p>
    <w:p>
      <w:r>
        <w:t>(3) Änderungen und Ergänzungen dieses Vertrags bedürfen der Schriftform. Dies gilt auch für die Aufhebung des Schriftformerfordernisses.</w:t>
      </w:r>
    </w:p>
    <w:p>
      <w:r>
        <w:t>(4) Sollte eine Bestimmung dieses Vertrags unwirksam oder undurchführbar sein, so berührt dies die Gültigkeit der übrigen Bestimmungen nicht. Die Parteien verpflichten sich, die unwirksame Bestimmung durch eine wirksame Regelung zu ersetzen, die dem wirtschaftlichen Zweck der unwirksamen Bestimmung möglichst nahekommt.</w:t>
      </w:r>
    </w:p>
    <w:p>
      <w:r>
        <w:t>(5) Dieser Vertrag einschließlich seiner Anlagen stellt die vollständige Vereinbarung der Parteien dar und ersetzt alle früheren schriftlichen und mündlichen Vereinbarungen über den gleichen Gegenstand.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