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VERTRAULICH – STRENG VERTRAULICH / STRICTLY CONFIDENTIAL</w:t>
      </w:r>
    </w:p>
    <w:p>
      <w:pPr>
        <w:pStyle w:val="Heading1"/>
      </w:pPr>
      <w:r>
        <w:t>Brennhagen Elektronik AG</w:t>
      </w:r>
    </w:p>
    <w:p>
      <w:r>
        <w:rPr>
          <w:sz w:val="18"/>
        </w:rPr>
        <w:t>Vaihinger Straße 120, 70567 Stuttgart  |  HRB 726451</w:t>
      </w:r>
    </w:p>
    <w:p>
      <w:r>
        <w:t>────────────────────────────────────────────────────────────────────────────────</w:t>
      </w:r>
    </w:p>
    <w:p>
      <w:pPr>
        <w:pStyle w:val="Heading2"/>
      </w:pPr>
      <w:r>
        <w:t>Intercompany-Darlehensvertrag: Brennhagen Finance GmbH → Brennhagen Elektronik GmbH</w:t>
      </w:r>
    </w:p>
    <w:p/>
    <w:p>
      <w:pPr>
        <w:pStyle w:val="Heading3"/>
      </w:pPr>
      <w:r>
        <w:t>Parteien</w:t>
      </w:r>
    </w:p>
    <w:p>
      <w:r>
        <w:t>Darlehensgeber: Brennhagen Finance GmbH</w:t>
        <w:br/>
        <w:t>Darlehensnehmer: Brennhagen Elektronik GmbH</w:t>
      </w:r>
    </w:p>
    <w:p>
      <w:pPr>
        <w:pStyle w:val="Heading3"/>
      </w:pPr>
      <w:r>
        <w:t>§ 1 Darlehensbetrag</w:t>
      </w:r>
    </w:p>
    <w:p>
      <w:r>
        <w:t>(1) Der Darlehensgeber gewährt dem Darlehensnehmer ein Darlehen in Höhe von 30.000.000 € (nachfolgend &lt;&lt;Darlehensbetrag&lt;&lt;).</w:t>
      </w:r>
    </w:p>
    <w:p>
      <w:r>
        <w:t>(2) Der Darlehensbetrag wird auf das Konto des Darlehensnehmers innerhalb von fünf Werktagen nach Unterzeichnung ausgezahlt.</w:t>
      </w:r>
    </w:p>
    <w:p>
      <w:pPr>
        <w:pStyle w:val="Heading3"/>
      </w:pPr>
      <w:r>
        <w:t>§ 2 Zinsen</w:t>
      </w:r>
    </w:p>
    <w:p>
      <w:r>
        <w:t>(1) Das Darlehen ist mit 3,10 % p.a. zu verzinsen. Die Zinsen sind quartalsweise im Nachhinein fällig.</w:t>
      </w:r>
    </w:p>
    <w:p>
      <w:r>
        <w:t>(2) Der Zinssatz entspricht dem Fremdvergleichsgrundsatz gemäß § 1 AStG und wurde auf Basis eines Benchmarkings durch Deloitte GmbH WPG ermittelt.</w:t>
      </w:r>
    </w:p>
    <w:p>
      <w:pPr>
        <w:pStyle w:val="Heading3"/>
      </w:pPr>
      <w:r>
        <w:t>§ 3 Laufzeit und Rückzahlung</w:t>
      </w:r>
    </w:p>
    <w:p>
      <w:r>
        <w:t>(1) Das Darlehen wird auf unbestimmte Zeit gewährt und kann von beiden Seiten mit einer Frist von zwölf (12) Monaten zum Jahresende gekündigt werden.</w:t>
      </w:r>
    </w:p>
    <w:p>
      <w:r>
        <w:t>(2) Der Darlehensnehmer kann das Darlehen jederzeit ganz oder teilweise vorzeitig zurückzahlen.</w:t>
      </w:r>
    </w:p>
    <w:p>
      <w:pPr>
        <w:pStyle w:val="Heading3"/>
      </w:pPr>
      <w:r>
        <w:t>§ 4 Verwendungszweck</w:t>
      </w:r>
    </w:p>
    <w:p>
      <w:r>
        <w:t>Das Darlehen dient der Finanzierung von Betriebsmitteln und Investitionen im Rahmen des gewöhnlichen Geschäftsbetriebs des Darlehensnehmers (Produktion / Hauptwerk).</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