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Intercompany-Dienstleistungsvertrag RCZ → REG (2023)</w:t>
      </w:r>
    </w:p>
    <w:p>
      <w:pPr>
        <w:jc w:val="center"/>
      </w:pPr>
      <w:r>
        <w:t>Konzerninterne Dienstleistung: Spezial-Steckverbinder-Fertigung (Sonderlose &lt; 5 kStk/Monat) inkl. Pruefung am Standort Brno fuer Werk Heilbronn</w:t>
      </w:r>
    </w:p>
    <w:p/>
    <w:p>
      <w:pPr>
        <w:pStyle w:val="Heading3"/>
      </w:pPr>
      <w:r>
        <w:t>Vertragsparteien</w:t>
      </w:r>
    </w:p>
    <w:p>
      <w:r>
        <w:t>Leistungserbringer: Brennhagen CZ s.r.o. (»RCZ«), Brno (CZ), C 87654 KS Brno.</w:t>
      </w:r>
    </w:p>
    <w:p>
      <w:r>
        <w:t>Leistungsempfaenger: Brennhagen Elektronik GmbH (»REG«), Heilbronn (DE), HRB 221456, AG Heilbronn.</w:t>
      </w:r>
    </w:p>
    <w:p>
      <w:r>
        <w:t>Beide Gesellschaften sind 100%-Tochtergesellschaften der Brennhagen Holding GmbH (Stuttgart) und somit Teil des Brennhagen-Konzerns (Mehrheitsaktionaer: Brennhagen Elektronik AG).</w:t>
      </w:r>
    </w:p>
    <w:p>
      <w:pPr>
        <w:pStyle w:val="Heading3"/>
      </w:pPr>
      <w:r>
        <w:t>Gegenstand der Leistung</w:t>
      </w:r>
    </w:p>
    <w:p>
      <w:r>
        <w:t>Gegenstand dieses Vertrages ist die Erbringung folgender konzerninterner Dienstleistungen durch RCZ an REG: Spezial-Steckverbinder-Fertigung (Sonderlose &lt; 5 kStk/Monat) inkl. Pruefung am Standort Brno fuer Werk Heilbronn.</w:t>
      </w:r>
    </w:p>
    <w:p>
      <w:r>
        <w:t>Die Leistung wird laufend ueber den Vertragszeitraum 2023 erbracht. Detaillierter Leistungsumfang, Service Levels und Ansprechpartner sind in Anhang 1 (Service Catalogue) geregelt. Die Leistungen sind funktional auf die operative Geschaefts­taetigkeit von REG ausgerichtet.</w:t>
      </w:r>
    </w:p>
    <w:p>
      <w:pPr>
        <w:pStyle w:val="Heading3"/>
      </w:pPr>
      <w:r>
        <w:t>Verguetung (Transfer Pricing)</w:t>
      </w:r>
    </w:p>
    <w:p>
      <w:r>
        <w:t>Die Verguetung erfolgt nach Kostenaufschlagsmethode (Cost-Plus) gemaess OECD Transfer Pricing Guidelines 2022, Kap. VII. Aufschlag auf direkte + indirekte Kosten: 5 %. Geplantes Volumen 2023: ca. 380 TEUR (gesch. Kostenbasis 361 TEUR + 5 % Margin).</w:t>
      </w:r>
    </w:p>
    <w:p>
      <w:r>
        <w:t>Abrechnung quartalsweise per Akontozahlung gemaess Forecast, Jahresspitzenausgleich auf Basis der tatsaechlichen Kosten bis 30.6. des Folgejahres. Verrechnung in EUR. Zahlungsziel: 45 Tage netto ab Rechnungseingang. Bei Verzug: Zinsen 5 %-Punkte ueber Basiszinssatz (EZB-Hauptrefinanzierungssatz).</w:t>
      </w:r>
    </w:p>
    <w:p>
      <w:pPr>
        <w:pStyle w:val="Heading3"/>
      </w:pPr>
      <w:r>
        <w:t>Service Levels (Auszug)</w:t>
      </w:r>
    </w:p>
    <w:p>
      <w:pPr>
        <w:pStyle w:val="ListBullet"/>
      </w:pPr>
      <w:r>
        <w:t>Verfuegbarkeit der Leistung gemaess Service-Spezifikation in Anhang 1</w:t>
      </w:r>
    </w:p>
    <w:p>
      <w:pPr>
        <w:pStyle w:val="ListBullet"/>
      </w:pPr>
      <w:r>
        <w:t>Reaktionszeiten gemaess Eskalationsmatrix (P1: 4h / P2: 24h / P3: 5 Werktage)</w:t>
      </w:r>
    </w:p>
    <w:p>
      <w:pPr>
        <w:pStyle w:val="ListBullet"/>
      </w:pPr>
      <w:r>
        <w:t>Monatliches Reporting an die Geschaeftsfuehrung des Leistungsempfaengers</w:t>
      </w:r>
    </w:p>
    <w:p>
      <w:pPr>
        <w:pStyle w:val="ListBullet"/>
      </w:pPr>
      <w:r>
        <w:t>Jaehrlicher Service-Review im November mit Anpassung fuer das Folgejahr</w:t>
      </w:r>
    </w:p>
    <w:p>
      <w:pPr>
        <w:pStyle w:val="Heading3"/>
      </w:pPr>
      <w:r>
        <w:t>Laufzeit / Kuendigung</w:t>
      </w:r>
    </w:p>
    <w:p>
      <w:r>
        <w:t>Laufzeit: 1.1.2023 – 31.12.2023, automatische Verlaengerung um je 12 Monate falls nicht mit 3 Monaten Frist zum Jahresende gekuendigt. Sonderkuendigungsrecht bei Konzernumstrukturierung oder Eintritt eines Change-of-Control-Ereignisses.</w:t>
      </w:r>
    </w:p>
    <w:p>
      <w:pPr>
        <w:pStyle w:val="Heading3"/>
      </w:pPr>
      <w:r>
        <w:t>Geheimhaltung / Datenschutz / Sonstiges</w:t>
      </w:r>
    </w:p>
    <w:p>
      <w:r>
        <w:t>Beide Parteien verpflichten sich zur Geheimhaltung waehrend und ueber 5 Jahre nach Vertragsende. Datenschutz: Soweit personenbezogene Daten verarbeitet werden, schliessen die Parteien einen ergaenzenden Auftragsverarbeitungsvertrag (AV-Vertrag) gem. Art. 28 DSGVO. Gerichtsstand und anwendbares Recht: Stuttgart, deutsches Recht. Aenderungen beduerfen der Schriftform.</w:t>
      </w:r>
    </w:p>
    <w:p>
      <w:pPr>
        <w:pStyle w:val="Heading3"/>
      </w:pPr>
      <w:r>
        <w:t>Unterschriften</w:t>
      </w:r>
    </w:p>
    <w:p>
      <w:r>
        <w:t>Ort, Datum: Brno, den 15. Januar 2023</w:t>
      </w:r>
    </w:p>
    <w:p>
      <w:r>
        <w:t>_________________________            _________________________</w:t>
        <w:br/>
        <w:t>GF RCZ                          GF REG</w:t>
        <w:br/>
        <w:t>Geschaeftsfuehrer/in                          Geschaeftsfuehrer/in</w:t>
        <w:br/>
        <w:t>Brennhagen CZ s.r.o.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