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Elektronik AG</w:t>
      </w:r>
    </w:p>
    <w:p>
      <w:r>
        <w:rPr>
          <w:sz w:val="18"/>
        </w:rPr>
        <w:t>Vaihinger Straße 120, 70567 Stuttgart  |  HRB 726451, Amtsgericht Stuttgart</w:t>
      </w:r>
    </w:p>
    <w:p>
      <w:r>
        <w:t>────────────────────────────────────────────────────────────────────────────────</w:t>
      </w:r>
    </w:p>
    <w:p>
      <w:pPr>
        <w:pStyle w:val="Heading2"/>
      </w:pPr>
      <w:r>
        <w:t>Konzernrichtlinie Anti-Korruption</w:t>
      </w:r>
    </w:p>
    <w:p>
      <w:pPr>
        <w:jc w:val="center"/>
      </w:pPr>
      <w:r>
        <w:t>Verbindlich fuer Brennhagen Elektronik AG und alle Konzerngesellschaften (REG, RSG, RPL, RCZ, RHU, RCN, RHO); Stand 2023</w:t>
      </w:r>
    </w:p>
    <w:p/>
    <w:p>
      <w:pPr>
        <w:pStyle w:val="Heading3"/>
      </w:pPr>
      <w:r>
        <w:t>Praeambel</w:t>
      </w:r>
    </w:p>
    <w:p>
      <w:r>
        <w:t>Diese Konzernrichtlinie regelt das Themengebiet »Anti-Korruption und Anti-Bestechung«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Striktes Verbot von Bestechung im In- und Ausland (UK Bribery Act, FCPA-Standard)</w:t>
      </w:r>
    </w:p>
    <w:p>
      <w:pPr>
        <w:pStyle w:val="ListBullet"/>
      </w:pPr>
      <w:r>
        <w:t>Geschenke und Einladungen max. 50 EUR Wert pro Person/Jahr ohne Genehmigung; ueber 50 EUR Eintragung im Geschenke-Register</w:t>
      </w:r>
    </w:p>
    <w:p>
      <w:pPr>
        <w:pStyle w:val="ListBullet"/>
      </w:pPr>
      <w:r>
        <w:t>Spenden und Sponsoring ausschliesslich nach 4-Augen-Freigabe Compliance + Vorstand</w:t>
      </w:r>
    </w:p>
    <w:p>
      <w:pPr>
        <w:pStyle w:val="ListBullet"/>
      </w:pPr>
      <w:r>
        <w:t>Keine Zahlungen an politische Parteien oder Amtstraeger im Zusammenhang mit Geschaeftsentscheidungen</w:t>
      </w:r>
    </w:p>
    <w:p>
      <w:pPr>
        <w:pStyle w:val="ListBullet"/>
      </w:pPr>
      <w:r>
        <w:t>Gesonderte Sorgfaltspflicht bei Drittparteien (Berater, Agenten, Vertriebspartner) inkl. Background Check</w:t>
      </w:r>
    </w:p>
    <w:p>
      <w:pPr>
        <w:pStyle w:val="ListBullet"/>
      </w:pPr>
      <w:r>
        <w:t>Erweiterte Pruefung bei Geschaeften in Hochrisikolaendern (CPI Transparency International &lt; 50)</w:t>
      </w:r>
    </w:p>
    <w:p>
      <w:pPr>
        <w:pStyle w:val="Heading3"/>
      </w:pPr>
      <w:r>
        <w:t>Verantwortlichkeiten</w:t>
      </w:r>
    </w:p>
    <w:p>
      <w:r>
        <w:t>Policy Owner: Chief Compliance Officer (Group Compliance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Compliance-Schulungsabdeckung &gt; 95 % aller Mitarbeiter jaehrlich</w:t>
      </w:r>
    </w:p>
    <w:p>
      <w:pPr>
        <w:pStyle w:val="ListBullet"/>
      </w:pPr>
      <w:r>
        <w:t>Anzahl gemeldeter Verdachtsfaelle und Bearbeitungszeit (Whistleblowing)</w:t>
      </w:r>
    </w:p>
    <w:p>
      <w:pPr>
        <w:pStyle w:val="ListBullet"/>
      </w:pPr>
      <w:r>
        <w:t>Geschenkeregister-Eintraege quartalsweise reviewt</w:t>
      </w:r>
    </w:p>
    <w:p>
      <w:pPr>
        <w:pStyle w:val="ListBullet"/>
      </w:pPr>
      <w:r>
        <w:t>Anteil Drittparteien mit aktuellem Compliance-Check &gt; 95 %</w:t>
      </w:r>
    </w:p>
    <w:p>
      <w:pPr>
        <w:pStyle w:val="Heading3"/>
      </w:pPr>
      <w:r>
        <w:t>Verweise / Normen</w:t>
      </w:r>
    </w:p>
    <w:p>
      <w:pPr>
        <w:pStyle w:val="ListBullet"/>
      </w:pPr>
      <w:r>
        <w:t>UK Bribery Act 2010</w:t>
      </w:r>
    </w:p>
    <w:p>
      <w:pPr>
        <w:pStyle w:val="ListBullet"/>
      </w:pPr>
      <w:r>
        <w:t>US Foreign Corrupt Practices Act 1977</w:t>
      </w:r>
    </w:p>
    <w:p>
      <w:pPr>
        <w:pStyle w:val="ListBullet"/>
      </w:pPr>
      <w:r>
        <w:t>OECD-Antikorruptions-Konvention</w:t>
      </w:r>
    </w:p>
    <w:p>
      <w:pPr>
        <w:pStyle w:val="ListBullet"/>
      </w:pPr>
      <w:r>
        <w:t>§§ 299, 331-337 StGB</w:t>
      </w:r>
    </w:p>
    <w:p>
      <w:pPr>
        <w:pStyle w:val="ListBullet"/>
      </w:pPr>
      <w:r>
        <w:t>ISO 37001 Anti-Bribery Management Systems</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