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Arbeitssicherheit</w:t>
      </w:r>
    </w:p>
    <w:p>
      <w:pPr>
        <w:jc w:val="center"/>
      </w:pPr>
      <w:r>
        <w:t>Verbindlich fuer Brennhagen Elektronik AG und alle Konzerngesellschaften (REG, RSG, RPL, RCZ, RHU, RCN, RHO); Stand 2023</w:t>
      </w:r>
    </w:p>
    <w:p/>
    <w:p>
      <w:pPr>
        <w:pStyle w:val="Heading3"/>
      </w:pPr>
      <w:r>
        <w:t>Praeambel</w:t>
      </w:r>
    </w:p>
    <w:p>
      <w:r>
        <w:t>Diese Konzernrichtlinie regelt das Themengebiet »Arbeits- und Gesundheitsschutz«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Verbindliche Gefaehrdungsbeurteilung jeder Arbeitsstation gem. ArbSchG / BetrSichV</w:t>
      </w:r>
    </w:p>
    <w:p>
      <w:pPr>
        <w:pStyle w:val="ListBullet"/>
      </w:pPr>
      <w:r>
        <w:t>Persoenliche Schutzausruestung (PSA) verbindlich in allen Produktionsbereichen</w:t>
      </w:r>
    </w:p>
    <w:p>
      <w:pPr>
        <w:pStyle w:val="ListBullet"/>
      </w:pPr>
      <w:r>
        <w:t>Unterweisungspflicht bei Eintritt und mind. jaehrlich danach (mind. 60 Min., dokumentiert)</w:t>
      </w:r>
    </w:p>
    <w:p>
      <w:pPr>
        <w:pStyle w:val="ListBullet"/>
      </w:pPr>
      <w:r>
        <w:t>Beinaheunfaelle (Near-Miss) verpflichtend zu melden</w:t>
      </w:r>
    </w:p>
    <w:p>
      <w:pPr>
        <w:pStyle w:val="ListBullet"/>
      </w:pPr>
      <w:r>
        <w:t>Sicherheitsaudits jaehrlich an jedem Standort durch zertifizierte interne Auditoren</w:t>
      </w:r>
    </w:p>
    <w:p>
      <w:pPr>
        <w:pStyle w:val="ListBullet"/>
      </w:pPr>
      <w:r>
        <w:t>Notfall- und Evakuierungsplaene mit mind. jaehrlicher Uebung</w:t>
      </w:r>
    </w:p>
    <w:p>
      <w:pPr>
        <w:pStyle w:val="Heading3"/>
      </w:pPr>
      <w:r>
        <w:t>Verantwortlichkeiten</w:t>
      </w:r>
    </w:p>
    <w:p>
      <w:r>
        <w:t>Policy Owner: Konzern-Sicherheitsbeauftragter (Group EHS Office).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Lost Time Injury Frequency Rate (LTIFR) Ziel &lt; 3 pro Mio. Arbeitsstunden</w:t>
      </w:r>
    </w:p>
    <w:p>
      <w:pPr>
        <w:pStyle w:val="ListBullet"/>
      </w:pPr>
      <w:r>
        <w:t>Total Recordable Incident Rate (TRIR) Ziel &lt; 5</w:t>
      </w:r>
    </w:p>
    <w:p>
      <w:pPr>
        <w:pStyle w:val="ListBullet"/>
      </w:pPr>
      <w:r>
        <w:t>Schulungsabdeckung Arbeitssicherheit &gt; 98 % aller Mitarbeiter</w:t>
      </w:r>
    </w:p>
    <w:p>
      <w:pPr>
        <w:pStyle w:val="ListBullet"/>
      </w:pPr>
      <w:r>
        <w:t>Quote behobener Audit-Findings binnen 90 Tagen &gt; 90 %</w:t>
      </w:r>
    </w:p>
    <w:p>
      <w:pPr>
        <w:pStyle w:val="Heading3"/>
      </w:pPr>
      <w:r>
        <w:t>Verweise / Normen</w:t>
      </w:r>
    </w:p>
    <w:p>
      <w:pPr>
        <w:pStyle w:val="ListBullet"/>
      </w:pPr>
      <w:r>
        <w:t>ArbSchG</w:t>
      </w:r>
    </w:p>
    <w:p>
      <w:pPr>
        <w:pStyle w:val="ListBullet"/>
      </w:pPr>
      <w:r>
        <w:t>BetrSichV</w:t>
      </w:r>
    </w:p>
    <w:p>
      <w:pPr>
        <w:pStyle w:val="ListBullet"/>
      </w:pPr>
      <w:r>
        <w:t>DGUV-Vorschriften 1 und 2</w:t>
      </w:r>
    </w:p>
    <w:p>
      <w:pPr>
        <w:pStyle w:val="ListBullet"/>
      </w:pPr>
      <w:r>
        <w:t>ISO 45001:2018</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