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Compliance</w:t>
      </w:r>
    </w:p>
    <w:p>
      <w:pPr>
        <w:jc w:val="center"/>
      </w:pPr>
      <w:r>
        <w:t>Verbindlich fuer Brennhagen Elektronik AG und alle Konzerngesellschaften (REG, RSG, RPL, RCZ, RHU, RCN, RHO); Stand 2023</w:t>
      </w:r>
    </w:p>
    <w:p/>
    <w:p>
      <w:pPr>
        <w:pStyle w:val="Heading3"/>
      </w:pPr>
      <w:r>
        <w:t>Praeambel</w:t>
      </w:r>
    </w:p>
    <w:p>
      <w:r>
        <w:t>Diese Konzernrichtlinie regelt das Themengebiet »Compliance Management System (CMS)«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Etablierung eines Compliance-Management-Systems nach IDW PS 980</w:t>
      </w:r>
    </w:p>
    <w:p>
      <w:pPr>
        <w:pStyle w:val="ListBullet"/>
      </w:pPr>
      <w:r>
        <w:t>Klare Eskalationswege ueber Compliance Officer an Vorstand und Pruefungsausschuss</w:t>
      </w:r>
    </w:p>
    <w:p>
      <w:pPr>
        <w:pStyle w:val="ListBullet"/>
      </w:pPr>
      <w:r>
        <w:t>Risikobasierter Compliance-Plan, jaehrlich aktualisiert</w:t>
      </w:r>
    </w:p>
    <w:p>
      <w:pPr>
        <w:pStyle w:val="ListBullet"/>
      </w:pPr>
      <w:r>
        <w:t>Compliance-Schulungen verpflichtend (E-Learning + Praesenz fuer Risikofunktionen)</w:t>
      </w:r>
    </w:p>
    <w:p>
      <w:pPr>
        <w:pStyle w:val="ListBullet"/>
      </w:pPr>
      <w:r>
        <w:t>Whistleblower-Hotline (24/7, extern betrieben durch Anbieter EQS Integrity Line)</w:t>
      </w:r>
    </w:p>
    <w:p>
      <w:pPr>
        <w:pStyle w:val="ListBullet"/>
      </w:pPr>
      <w:r>
        <w:t>Quartalsweises Compliance-Reporting an Pruefungsausschuss des Aufsichtsrats</w:t>
      </w:r>
    </w:p>
    <w:p>
      <w:pPr>
        <w:pStyle w:val="Heading3"/>
      </w:pPr>
      <w:r>
        <w:t>Verantwortlichkeiten</w:t>
      </w:r>
    </w:p>
    <w:p>
      <w:r>
        <w:t>Policy Owner: Chief Compliance Officer (Group Compliance Office).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Anzahl bearbeiteter Compliance-Faelle pro Quartal</w:t>
      </w:r>
    </w:p>
    <w:p>
      <w:pPr>
        <w:pStyle w:val="ListBullet"/>
      </w:pPr>
      <w:r>
        <w:t>Schulungsabdeckung &gt; 95 % aller Mitarbeiter</w:t>
      </w:r>
    </w:p>
    <w:p>
      <w:pPr>
        <w:pStyle w:val="ListBullet"/>
      </w:pPr>
      <w:r>
        <w:t>Reaktionszeit auf Hinweise &lt; 5 Werktage</w:t>
      </w:r>
    </w:p>
    <w:p>
      <w:pPr>
        <w:pStyle w:val="ListBullet"/>
      </w:pPr>
      <w:r>
        <w:t>Compliance-Audit-Score jaehrlich &gt; 85 / 100</w:t>
      </w:r>
    </w:p>
    <w:p>
      <w:pPr>
        <w:pStyle w:val="Heading3"/>
      </w:pPr>
      <w:r>
        <w:t>Verweise / Normen</w:t>
      </w:r>
    </w:p>
    <w:p>
      <w:pPr>
        <w:pStyle w:val="ListBullet"/>
      </w:pPr>
      <w:r>
        <w:t>IDW PS 980</w:t>
      </w:r>
    </w:p>
    <w:p>
      <w:pPr>
        <w:pStyle w:val="ListBullet"/>
      </w:pPr>
      <w:r>
        <w:t>ISO 37301:2021 Compliance Management Systems</w:t>
      </w:r>
    </w:p>
    <w:p>
      <w:pPr>
        <w:pStyle w:val="ListBullet"/>
      </w:pPr>
      <w:r>
        <w:t>BaFin MaRisk</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