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Datensicherung</w:t>
      </w:r>
    </w:p>
    <w:p>
      <w:pPr>
        <w:jc w:val="center"/>
      </w:pPr>
      <w:r>
        <w:t>Verbindlich fuer Brennhagen Elektronik AG und alle Konzerngesellschaften (REG, RSG, RPL, RCZ, RHU, RCN, RHO); Stand 2023</w:t>
      </w:r>
    </w:p>
    <w:p/>
    <w:p>
      <w:pPr>
        <w:pStyle w:val="Heading3"/>
      </w:pPr>
      <w:r>
        <w:t>Praeambel</w:t>
      </w:r>
    </w:p>
    <w:p>
      <w:r>
        <w:t>Diese Konzernrichtlinie regelt das Themengebiet »Datensicherung und Backup«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Verbindliche Backup-Strategie nach 3-2-1-Regel (3 Kopien, 2 Medientypen, 1 offsite)</w:t>
      </w:r>
    </w:p>
    <w:p>
      <w:pPr>
        <w:pStyle w:val="ListBullet"/>
      </w:pPr>
      <w:r>
        <w:t>Backup-Frequenzen: kritische Systeme stuendlich, Standard taeglich, Archiv monatlich</w:t>
      </w:r>
    </w:p>
    <w:p>
      <w:pPr>
        <w:pStyle w:val="ListBullet"/>
      </w:pPr>
      <w:r>
        <w:t>Wiederherstellungstests mind. quartalsweise je Anwendung</w:t>
      </w:r>
    </w:p>
    <w:p>
      <w:pPr>
        <w:pStyle w:val="ListBullet"/>
      </w:pPr>
      <w:r>
        <w:t>Geo-redundante Backups in DE / mind. zweite EU-Region</w:t>
      </w:r>
    </w:p>
    <w:p>
      <w:pPr>
        <w:pStyle w:val="ListBullet"/>
      </w:pPr>
      <w:r>
        <w:t>RPO (Recovery Point Objective) max. 4 Stunden fuer kritische Systeme</w:t>
      </w:r>
    </w:p>
    <w:p>
      <w:pPr>
        <w:pStyle w:val="ListBullet"/>
      </w:pPr>
      <w:r>
        <w:t>RTO (Recovery Time Objective) max. 8 Stunden fuer kritische Systeme</w:t>
      </w:r>
    </w:p>
    <w:p>
      <w:pPr>
        <w:pStyle w:val="Heading3"/>
      </w:pPr>
      <w:r>
        <w:t>Verantwortlichkeiten</w:t>
      </w:r>
    </w:p>
    <w:p>
      <w:r>
        <w:t>Policy Owner: Group CIO (Group IT).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Erfolgreiche Backup-Quote &gt; 99 %</w:t>
      </w:r>
    </w:p>
    <w:p>
      <w:pPr>
        <w:pStyle w:val="ListBullet"/>
      </w:pPr>
      <w:r>
        <w:t>Wiederherstellungstests bestanden &gt; 95 %</w:t>
      </w:r>
    </w:p>
    <w:p>
      <w:pPr>
        <w:pStyle w:val="ListBullet"/>
      </w:pPr>
      <w:r>
        <w:t>Anzahl Datenverlustvorfaelle pro Jahr = 0</w:t>
      </w:r>
    </w:p>
    <w:p>
      <w:pPr>
        <w:pStyle w:val="ListBullet"/>
      </w:pPr>
      <w:r>
        <w:t>Mean Time to Recover (MTTR) bei Ausfaellen &lt; 8h</w:t>
      </w:r>
    </w:p>
    <w:p>
      <w:pPr>
        <w:pStyle w:val="Heading3"/>
      </w:pPr>
      <w:r>
        <w:t>Verweise / Normen</w:t>
      </w:r>
    </w:p>
    <w:p>
      <w:pPr>
        <w:pStyle w:val="ListBullet"/>
      </w:pPr>
      <w:r>
        <w:t>ISO 27001:2022</w:t>
      </w:r>
    </w:p>
    <w:p>
      <w:pPr>
        <w:pStyle w:val="ListBullet"/>
      </w:pPr>
      <w:r>
        <w:t>BSI IT-Grundschutz</w:t>
      </w:r>
    </w:p>
    <w:p>
      <w:pPr>
        <w:pStyle w:val="ListBullet"/>
      </w:pPr>
      <w:r>
        <w:t>NIS-2-Richtlinie</w:t>
      </w:r>
    </w:p>
    <w:p>
      <w:pPr>
        <w:pStyle w:val="ListBullet"/>
      </w:pPr>
      <w:r>
        <w:t>DSGVO Art. 32</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