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Exportkontrolle</w:t>
      </w:r>
    </w:p>
    <w:p>
      <w:pPr>
        <w:jc w:val="center"/>
      </w:pPr>
      <w:r>
        <w:t>Verbindlich fuer Brennhagen Elektronik AG und alle Konzerngesellschaften (REG, RSG, RPL, RCZ, RHU, RCN, RHO); Stand 2023</w:t>
      </w:r>
    </w:p>
    <w:p/>
    <w:p>
      <w:pPr>
        <w:pStyle w:val="Heading3"/>
      </w:pPr>
      <w:r>
        <w:t>Praeambel</w:t>
      </w:r>
    </w:p>
    <w:p>
      <w:r>
        <w:t>Diese Konzernrichtlinie regelt das Themengebiet »Exportkontrolle und Sanktionen«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Pruefung jeder Exporttransaktion gegen EU-Dual-Use-VO (VO 2021/821) und nationale Listen</w:t>
      </w:r>
    </w:p>
    <w:p>
      <w:pPr>
        <w:pStyle w:val="ListBullet"/>
      </w:pPr>
      <w:r>
        <w:t>Sanktionslisten-Screening (EU-Konsolidierte Liste, OFAC SDN, UN) vor Vertragsschluss</w:t>
      </w:r>
    </w:p>
    <w:p>
      <w:pPr>
        <w:pStyle w:val="ListBullet"/>
      </w:pPr>
      <w:r>
        <w:t>Endverbleibserklaerung (End User Statement) bei Dual-Use-Guetern verpflichtend</w:t>
      </w:r>
    </w:p>
    <w:p>
      <w:pPr>
        <w:pStyle w:val="ListBullet"/>
      </w:pPr>
      <w:r>
        <w:t>Schulungspflicht fuer alle Mitarbeiter in Vertrieb, Versand, F&amp;E</w:t>
      </w:r>
    </w:p>
    <w:p>
      <w:pPr>
        <w:pStyle w:val="ListBullet"/>
      </w:pPr>
      <w:r>
        <w:t>Aussenwirtschaftsverordnung (AWV) Einhaltung; Genehmigungen ueber BAFA bzw. zustaendige nationale Behoerde</w:t>
      </w:r>
    </w:p>
    <w:p>
      <w:pPr>
        <w:pStyle w:val="ListBullet"/>
      </w:pPr>
      <w:r>
        <w:t>Eskalation bei Verdachtsfaellen an Compliance Officer und ggf. Vorstand</w:t>
      </w:r>
    </w:p>
    <w:p>
      <w:pPr>
        <w:pStyle w:val="Heading3"/>
      </w:pPr>
      <w:r>
        <w:t>Verantwortlichkeiten</w:t>
      </w:r>
    </w:p>
    <w:p>
      <w:r>
        <w:t>Policy Owner: Konzern-Exportkontrollbeauftragter (Group Trade Compliance).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Anteil Transaktionen mit Sanktionspruefung 100 %</w:t>
      </w:r>
    </w:p>
    <w:p>
      <w:pPr>
        <w:pStyle w:val="ListBullet"/>
      </w:pPr>
      <w:r>
        <w:t>Anzahl Verdachtsfaelle und Bearbeitungsstatus quartalsweise reportiert</w:t>
      </w:r>
    </w:p>
    <w:p>
      <w:pPr>
        <w:pStyle w:val="ListBullet"/>
      </w:pPr>
      <w:r>
        <w:t>Schulungsabdeckung &gt; 98 % der Mitarbeiter in betroffenen Funktionen</w:t>
      </w:r>
    </w:p>
    <w:p>
      <w:pPr>
        <w:pStyle w:val="ListBullet"/>
      </w:pPr>
      <w:r>
        <w:t>Audit-Findings Trade Compliance &lt; 5 pro Jahr</w:t>
      </w:r>
    </w:p>
    <w:p>
      <w:pPr>
        <w:pStyle w:val="Heading3"/>
      </w:pPr>
      <w:r>
        <w:t>Verweise / Normen</w:t>
      </w:r>
    </w:p>
    <w:p>
      <w:pPr>
        <w:pStyle w:val="ListBullet"/>
      </w:pPr>
      <w:r>
        <w:t>EU Dual-Use-VO 2021/821</w:t>
      </w:r>
    </w:p>
    <w:p>
      <w:pPr>
        <w:pStyle w:val="ListBullet"/>
      </w:pPr>
      <w:r>
        <w:t>AWG/AWV</w:t>
      </w:r>
    </w:p>
    <w:p>
      <w:pPr>
        <w:pStyle w:val="ListBullet"/>
      </w:pPr>
      <w:r>
        <w:t>OFAC SDN</w:t>
      </w:r>
    </w:p>
    <w:p>
      <w:pPr>
        <w:pStyle w:val="ListBullet"/>
      </w:pPr>
      <w:r>
        <w:t>UN-Sanktionsregimes</w:t>
      </w:r>
    </w:p>
    <w:p>
      <w:pPr>
        <w:pStyle w:val="ListBullet"/>
      </w:pPr>
      <w:r>
        <w:t>EAR / ITAR (USA)</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