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Finanzberichterstattung</w:t>
      </w:r>
    </w:p>
    <w:p>
      <w:pPr>
        <w:jc w:val="center"/>
      </w:pPr>
      <w:r>
        <w:t>Verbindlich fuer Brennhagen Elektronik AG und alle Konzerngesellschaften (REG, RSG, RPL, RCZ, RHU, RCN, RHO); Stand 2023</w:t>
      </w:r>
    </w:p>
    <w:p/>
    <w:p>
      <w:pPr>
        <w:pStyle w:val="Heading3"/>
      </w:pPr>
      <w:r>
        <w:t>Praeambel</w:t>
      </w:r>
    </w:p>
    <w:p>
      <w:r>
        <w:t>Diese Konzernrichtlinie regelt das Themengebiet »Finanzberichterstattung (Internal Controls over Financial Reporting, ICFR)«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Konzern-Bilanzierungs- und Bewertungshandbuch nach IFRS verpflichtend in allen Gesellschaften</w:t>
      </w:r>
    </w:p>
    <w:p>
      <w:pPr>
        <w:pStyle w:val="ListBullet"/>
      </w:pPr>
      <w:r>
        <w:t>Internes Kontrollsystem nach COSO 2013 mit jaehrlicher Selbst-Evaluation</w:t>
      </w:r>
    </w:p>
    <w:p>
      <w:pPr>
        <w:pStyle w:val="ListBullet"/>
      </w:pPr>
      <w:r>
        <w:t>Vier-Augen-Prinzip bei allen Buchungen &gt; 10 TEUR</w:t>
      </w:r>
    </w:p>
    <w:p>
      <w:pPr>
        <w:pStyle w:val="ListBullet"/>
      </w:pPr>
      <w:r>
        <w:t>Konsolidierungssoftware (SAP Group Reporting) als Single Source of Truth</w:t>
      </w:r>
    </w:p>
    <w:p>
      <w:pPr>
        <w:pStyle w:val="ListBullet"/>
      </w:pPr>
      <w:r>
        <w:t>Monatliche Abschluesse bis Werktag +7 nach Periodenende</w:t>
      </w:r>
    </w:p>
    <w:p>
      <w:pPr>
        <w:pStyle w:val="ListBullet"/>
      </w:pPr>
      <w:r>
        <w:t>Externe Pruefung Konzernabschluss IFRS durch KPMG AG WPG (jaehrlich)</w:t>
      </w:r>
    </w:p>
    <w:p>
      <w:pPr>
        <w:pStyle w:val="Heading3"/>
      </w:pPr>
      <w:r>
        <w:t>Verantwortlichkeiten</w:t>
      </w:r>
    </w:p>
    <w:p>
      <w:r>
        <w:t>Policy Owner: Group Controller (Florian Maier).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Termintreue Monatsabschluss 100 %</w:t>
      </w:r>
    </w:p>
    <w:p>
      <w:pPr>
        <w:pStyle w:val="ListBullet"/>
      </w:pPr>
      <w:r>
        <w:t>Anzahl Material Weaknesses ICFR = 0</w:t>
      </w:r>
    </w:p>
    <w:p>
      <w:pPr>
        <w:pStyle w:val="ListBullet"/>
      </w:pPr>
      <w:r>
        <w:t>Auditor's Opinion uneingeschraenkt</w:t>
      </w:r>
    </w:p>
    <w:p>
      <w:pPr>
        <w:pStyle w:val="ListBullet"/>
      </w:pPr>
      <w:r>
        <w:t>Audit-Findings ICFR &lt; 10 pro Jahr</w:t>
      </w:r>
    </w:p>
    <w:p>
      <w:pPr>
        <w:pStyle w:val="Heading3"/>
      </w:pPr>
      <w:r>
        <w:t>Verweise / Normen</w:t>
      </w:r>
    </w:p>
    <w:p>
      <w:pPr>
        <w:pStyle w:val="ListBullet"/>
      </w:pPr>
      <w:r>
        <w:t>IFRS</w:t>
      </w:r>
    </w:p>
    <w:p>
      <w:pPr>
        <w:pStyle w:val="ListBullet"/>
      </w:pPr>
      <w:r>
        <w:t>HGB</w:t>
      </w:r>
    </w:p>
    <w:p>
      <w:pPr>
        <w:pStyle w:val="ListBullet"/>
      </w:pPr>
      <w:r>
        <w:t>AktG</w:t>
      </w:r>
    </w:p>
    <w:p>
      <w:pPr>
        <w:pStyle w:val="ListBullet"/>
      </w:pPr>
      <w:r>
        <w:t>IDW PS 261 / PS 980 / PS 982</w:t>
      </w:r>
    </w:p>
    <w:p>
      <w:pPr>
        <w:pStyle w:val="ListBullet"/>
      </w:pPr>
      <w:r>
        <w:t>COSO 2013 Internal Control Framework</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