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Geschenke und Einladungen</w:t>
      </w:r>
    </w:p>
    <w:p>
      <w:pPr>
        <w:jc w:val="center"/>
      </w:pPr>
      <w:r>
        <w:t>Verbindlich fuer Brennhagen Elektronik AG und alle Konzerngesellschaften (REG, RSG, RPL, RCZ, RHU, RCN, RHO); Stand 2023</w:t>
      </w:r>
    </w:p>
    <w:p/>
    <w:p>
      <w:pPr>
        <w:pStyle w:val="Heading3"/>
      </w:pPr>
      <w:r>
        <w:t>Praeambel</w:t>
      </w:r>
    </w:p>
    <w:p>
      <w:r>
        <w:t>Diese Konzernrichtlinie regelt das Themengebiet »Annahme und Gewaehrung von Geschenken und Einladungen«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Geschenke und Einladungen bis 50 EUR Wert ohne Genehmigung zulaessig (1x pro Person/Jahr)</w:t>
      </w:r>
    </w:p>
    <w:p>
      <w:pPr>
        <w:pStyle w:val="ListBullet"/>
      </w:pPr>
      <w:r>
        <w:t>Bei Wert &gt; 50 EUR Eintrag im konzernweiten Geschenkeregister erforderlich</w:t>
      </w:r>
    </w:p>
    <w:p>
      <w:pPr>
        <w:pStyle w:val="ListBullet"/>
      </w:pPr>
      <w:r>
        <w:t>Bei Wert &gt; 200 EUR Genehmigung durch Vorgesetzte/n + Compliance Officer</w:t>
      </w:r>
    </w:p>
    <w:p>
      <w:pPr>
        <w:pStyle w:val="ListBullet"/>
      </w:pPr>
      <w:r>
        <w:t>Bei oeffentlichen Amtstraegern grundsaetzlich verboten (Ausnahme: Hoeflichkeitsgeschenke gerings. Wertes)</w:t>
      </w:r>
    </w:p>
    <w:p>
      <w:pPr>
        <w:pStyle w:val="ListBullet"/>
      </w:pPr>
      <w:r>
        <w:t>Geschenke in bar oder bargeldnahe Mittel grundsaetzlich verboten</w:t>
      </w:r>
    </w:p>
    <w:p>
      <w:pPr>
        <w:pStyle w:val="ListBullet"/>
      </w:pPr>
      <w:r>
        <w:t>Einladungen zu OEM-Events nur mit Geschaeftsbezug (Werkstour, Fachkonferenz, RFQ-Praesentation)</w:t>
      </w:r>
    </w:p>
    <w:p>
      <w:pPr>
        <w:pStyle w:val="Heading3"/>
      </w:pPr>
      <w:r>
        <w:t>Verantwortlichkeiten</w:t>
      </w:r>
    </w:p>
    <w:p>
      <w:r>
        <w:t>Policy Owner: Chief Compliance Officer (Group Compliance Office).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Anzahl Eintraege im Geschenkeregister pro Quartal</w:t>
      </w:r>
    </w:p>
    <w:p>
      <w:pPr>
        <w:pStyle w:val="ListBullet"/>
      </w:pPr>
      <w:r>
        <w:t>Anzahl genehmigter Geschenke &gt; 200 EUR pro Quartal</w:t>
      </w:r>
    </w:p>
    <w:p>
      <w:pPr>
        <w:pStyle w:val="ListBullet"/>
      </w:pPr>
      <w:r>
        <w:t>Schulungsabdeckung Anti-Korruption &gt; 95 %</w:t>
      </w:r>
    </w:p>
    <w:p>
      <w:pPr>
        <w:pStyle w:val="ListBullet"/>
      </w:pPr>
      <w:r>
        <w:t>Compliance-Audits ohne Findings in diesem Themengebiet</w:t>
      </w:r>
    </w:p>
    <w:p>
      <w:pPr>
        <w:pStyle w:val="Heading3"/>
      </w:pPr>
      <w:r>
        <w:t>Verweise / Normen</w:t>
      </w:r>
    </w:p>
    <w:p>
      <w:pPr>
        <w:pStyle w:val="ListBullet"/>
      </w:pPr>
      <w:r>
        <w:t>UK Bribery Act 2010</w:t>
      </w:r>
    </w:p>
    <w:p>
      <w:pPr>
        <w:pStyle w:val="ListBullet"/>
      </w:pPr>
      <w:r>
        <w:t>§ 299 StGB</w:t>
      </w:r>
    </w:p>
    <w:p>
      <w:pPr>
        <w:pStyle w:val="ListBullet"/>
      </w:pPr>
      <w:r>
        <w:t>OECD-Antikorruptions-Konvention</w:t>
      </w:r>
    </w:p>
    <w:p>
      <w:pPr>
        <w:pStyle w:val="ListBullet"/>
      </w:pPr>
      <w:r>
        <w:t>interne Anti-Korruptions-Richtlinie</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