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IP-Schutz</w:t>
      </w:r>
    </w:p>
    <w:p>
      <w:pPr>
        <w:jc w:val="center"/>
      </w:pPr>
      <w:r>
        <w:t>Verbindlich fuer Brennhagen Elektronik AG und alle Konzerngesellschaften (REG, RSG, RPL, RCZ, RHU, RCN, RHO); Stand 2023</w:t>
      </w:r>
    </w:p>
    <w:p/>
    <w:p>
      <w:pPr>
        <w:pStyle w:val="Heading3"/>
      </w:pPr>
      <w:r>
        <w:t>Praeambel</w:t>
      </w:r>
    </w:p>
    <w:p>
      <w:r>
        <w:t>Diese Konzernrichtlinie regelt das Themengebiet »Schutz und Verwertung geistigen Eigentums (Intellectual Property)«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Patentanmeldungen ueber zentrales Patent-Komitee (Quartalsweise)</w:t>
      </w:r>
    </w:p>
    <w:p>
      <w:pPr>
        <w:pStyle w:val="ListBullet"/>
      </w:pPr>
      <w:r>
        <w:t>Klare Eigentumszuordnung: IP aus konzerninterner F&amp;E gehoert grundsaetzlich der Brennhagen Elektronik AG</w:t>
      </w:r>
    </w:p>
    <w:p>
      <w:pPr>
        <w:pStyle w:val="ListBullet"/>
      </w:pPr>
      <w:r>
        <w:t>Verbindliche IP-Klauseln in allen F&amp;E- und Beratervertraegen</w:t>
      </w:r>
    </w:p>
    <w:p>
      <w:pPr>
        <w:pStyle w:val="ListBullet"/>
      </w:pPr>
      <w:r>
        <w:t>Open-Source-Software-Management mit zentraler Pruefung der Lizenz-Kompatibilitaet</w:t>
      </w:r>
    </w:p>
    <w:p>
      <w:pPr>
        <w:pStyle w:val="ListBullet"/>
      </w:pPr>
      <w:r>
        <w:t>Geheimhaltungs-Vereinbarungen (NDA) verpflichtend vor IP-relevanten Gespraechen</w:t>
      </w:r>
    </w:p>
    <w:p>
      <w:pPr>
        <w:pStyle w:val="ListBullet"/>
      </w:pPr>
      <w:r>
        <w:t>FRAND-Erklaerungen bei Standardisierung (z. B. Automotive Ethernet)</w:t>
      </w:r>
    </w:p>
    <w:p>
      <w:pPr>
        <w:pStyle w:val="Heading3"/>
      </w:pPr>
      <w:r>
        <w:t>Verantwortlichkeiten</w:t>
      </w:r>
    </w:p>
    <w:p>
      <w:r>
        <w:t>Policy Owner: Group IP Manager (Group R&amp;D / Legal).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Anzahl Neu-Patente pro Jahr (Ziel &gt; 20)</w:t>
      </w:r>
    </w:p>
    <w:p>
      <w:pPr>
        <w:pStyle w:val="ListBullet"/>
      </w:pPr>
      <w:r>
        <w:t>Patenterteilungsquote &gt; 70 %</w:t>
      </w:r>
    </w:p>
    <w:p>
      <w:pPr>
        <w:pStyle w:val="ListBullet"/>
      </w:pPr>
      <w:r>
        <w:t>Anzahl Patentstreitigkeiten / Klagen pro Jahr</w:t>
      </w:r>
    </w:p>
    <w:p>
      <w:pPr>
        <w:pStyle w:val="ListBullet"/>
      </w:pPr>
      <w:r>
        <w:t>OSS-Compliance-Findings pro Release = 0</w:t>
      </w:r>
    </w:p>
    <w:p>
      <w:pPr>
        <w:pStyle w:val="Heading3"/>
      </w:pPr>
      <w:r>
        <w:t>Verweise / Normen</w:t>
      </w:r>
    </w:p>
    <w:p>
      <w:pPr>
        <w:pStyle w:val="ListBullet"/>
      </w:pPr>
      <w:r>
        <w:t>PatG</w:t>
      </w:r>
    </w:p>
    <w:p>
      <w:pPr>
        <w:pStyle w:val="ListBullet"/>
      </w:pPr>
      <w:r>
        <w:t>EPC</w:t>
      </w:r>
    </w:p>
    <w:p>
      <w:pPr>
        <w:pStyle w:val="ListBullet"/>
      </w:pPr>
      <w:r>
        <w:t>DSGVO bei personenbezogenen Trainingsdaten</w:t>
      </w:r>
    </w:p>
    <w:p>
      <w:pPr>
        <w:pStyle w:val="ListBullet"/>
      </w:pPr>
      <w:r>
        <w:t>FRAND-Standards (ETSI, IEEE)</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