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IT-Security</w:t>
      </w:r>
    </w:p>
    <w:p>
      <w:pPr>
        <w:jc w:val="center"/>
      </w:pPr>
      <w:r>
        <w:t>Verbindlich fuer Brennhagen Elektronik AG und alle Konzerngesellschaften (REG, RSG, RPL, RCZ, RHU, RCN, RHO); Stand 2023</w:t>
      </w:r>
    </w:p>
    <w:p/>
    <w:p>
      <w:pPr>
        <w:pStyle w:val="Heading3"/>
      </w:pPr>
      <w:r>
        <w:t>Praeambel</w:t>
      </w:r>
    </w:p>
    <w:p>
      <w:r>
        <w:t>Diese Konzernrichtlinie regelt das Themengebiet »Informationssicherheit«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ISMS nach ISO 27001 (Zertifizierung in Vorbereitung 2024)</w:t>
      </w:r>
    </w:p>
    <w:p>
      <w:pPr>
        <w:pStyle w:val="ListBullet"/>
      </w:pPr>
      <w:r>
        <w:t>Multi-Faktor-Authentifizierung (MFA) verpflichtend fuer alle Mitarbeiter</w:t>
      </w:r>
    </w:p>
    <w:p>
      <w:pPr>
        <w:pStyle w:val="ListBullet"/>
      </w:pPr>
      <w:r>
        <w:t>Passwort-Policy: mind. 14 Zeichen, alle 180 Tage Wechselpflicht in priv. Konten</w:t>
      </w:r>
    </w:p>
    <w:p>
      <w:pPr>
        <w:pStyle w:val="ListBullet"/>
      </w:pPr>
      <w:r>
        <w:t>Patch-Management: kritische Sicherheits-Patches binnen 14 Tagen</w:t>
      </w:r>
    </w:p>
    <w:p>
      <w:pPr>
        <w:pStyle w:val="ListBullet"/>
      </w:pPr>
      <w:r>
        <w:t>Endpoint Detection &amp; Response (EDR) flaechendeckend</w:t>
      </w:r>
    </w:p>
    <w:p>
      <w:pPr>
        <w:pStyle w:val="ListBullet"/>
      </w:pPr>
      <w:r>
        <w:t>Security Awareness Training mind. jaehrlich verpflichtend</w:t>
      </w:r>
    </w:p>
    <w:p>
      <w:pPr>
        <w:pStyle w:val="Heading3"/>
      </w:pPr>
      <w:r>
        <w:t>Verantwortlichkeiten</w:t>
      </w:r>
    </w:p>
    <w:p>
      <w:r>
        <w:t>Policy Owner: Group CISO (Group IT Security).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Anteil Endpoints mit aktuellem Patchstand &gt; 95 %</w:t>
      </w:r>
    </w:p>
    <w:p>
      <w:pPr>
        <w:pStyle w:val="ListBullet"/>
      </w:pPr>
      <w:r>
        <w:t>Anzahl sicherheitsrelevanter Vorfaelle pro Quartal (Reporting)</w:t>
      </w:r>
    </w:p>
    <w:p>
      <w:pPr>
        <w:pStyle w:val="ListBullet"/>
      </w:pPr>
      <w:r>
        <w:t>Phishing-Simulation Klick-Quote &lt; 5 %</w:t>
      </w:r>
    </w:p>
    <w:p>
      <w:pPr>
        <w:pStyle w:val="ListBullet"/>
      </w:pPr>
      <w:r>
        <w:t>MFA-Abdeckung 100 %</w:t>
      </w:r>
    </w:p>
    <w:p>
      <w:pPr>
        <w:pStyle w:val="Heading3"/>
      </w:pPr>
      <w:r>
        <w:t>Verweise / Normen</w:t>
      </w:r>
    </w:p>
    <w:p>
      <w:pPr>
        <w:pStyle w:val="ListBullet"/>
      </w:pPr>
      <w:r>
        <w:t>ISO 27001:2022</w:t>
      </w:r>
    </w:p>
    <w:p>
      <w:pPr>
        <w:pStyle w:val="ListBullet"/>
      </w:pPr>
      <w:r>
        <w:t>BSI IT-Grundschutz</w:t>
      </w:r>
    </w:p>
    <w:p>
      <w:pPr>
        <w:pStyle w:val="ListBullet"/>
      </w:pPr>
      <w:r>
        <w:t>NIS-2-Richtlinie</w:t>
      </w:r>
    </w:p>
    <w:p>
      <w:pPr>
        <w:pStyle w:val="ListBullet"/>
      </w:pPr>
      <w:r>
        <w:t>TISAX (Automotive)</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