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Interessenkonflikte</w:t>
      </w:r>
    </w:p>
    <w:p>
      <w:pPr>
        <w:jc w:val="center"/>
      </w:pPr>
      <w:r>
        <w:t>Verbindlich fuer Brennhagen Elektronik AG und alle Konzerngesellschaften (REG, RSG, RPL, RCZ, RHU, RCN, RHO); Stand 2023</w:t>
      </w:r>
    </w:p>
    <w:p/>
    <w:p>
      <w:pPr>
        <w:pStyle w:val="Heading3"/>
      </w:pPr>
      <w:r>
        <w:t>Praeambel</w:t>
      </w:r>
    </w:p>
    <w:p>
      <w:r>
        <w:t>Diese Konzernrichtlinie regelt das Themengebiet »Vermeidung und Management von Interessenkonflikten«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Jaehrliche Selbstauskunft aller Fuehrungskraefte und Mitarbeiter in sensiblen Funktionen</w:t>
      </w:r>
    </w:p>
    <w:p>
      <w:pPr>
        <w:pStyle w:val="ListBullet"/>
      </w:pPr>
      <w:r>
        <w:t>Meldepflicht bei Verwandtschafts-/Naheverhaeltnissen zu Geschaeftspartnern oder Mitarbeitern</w:t>
      </w:r>
    </w:p>
    <w:p>
      <w:pPr>
        <w:pStyle w:val="ListBullet"/>
      </w:pPr>
      <w:r>
        <w:t>Verbot der Mitwirkung an Entscheidungen bei eigenem persoenlichem Vorteil</w:t>
      </w:r>
    </w:p>
    <w:p>
      <w:pPr>
        <w:pStyle w:val="ListBullet"/>
      </w:pPr>
      <w:r>
        <w:t>Genehmigungspflicht fuer Nebentaetigkeiten</w:t>
      </w:r>
    </w:p>
    <w:p>
      <w:pPr>
        <w:pStyle w:val="ListBullet"/>
      </w:pPr>
      <w:r>
        <w:t>Eintraege in konzernweites Interessenkonflikt-Register</w:t>
      </w:r>
    </w:p>
    <w:p>
      <w:pPr>
        <w:pStyle w:val="ListBullet"/>
      </w:pPr>
      <w:r>
        <w:t>Klare Eskalationswege bei Verdachtsfaellen ueber Compliance Officer</w:t>
      </w:r>
    </w:p>
    <w:p>
      <w:pPr>
        <w:pStyle w:val="Heading3"/>
      </w:pPr>
      <w:r>
        <w:t>Verantwortlichkeiten</w:t>
      </w:r>
    </w:p>
    <w:p>
      <w:r>
        <w:t>Policy Owner: Chief Compliance Officer (Group Compliance Office).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Anteil Mitarbeiter mit gueltiger Selbstauskunft &gt; 95 %</w:t>
      </w:r>
    </w:p>
    <w:p>
      <w:pPr>
        <w:pStyle w:val="ListBullet"/>
      </w:pPr>
      <w:r>
        <w:t>Anzahl gemeldeter Interessenkonflikte pro Jahr (Reporting)</w:t>
      </w:r>
    </w:p>
    <w:p>
      <w:pPr>
        <w:pStyle w:val="ListBullet"/>
      </w:pPr>
      <w:r>
        <w:t>Anzahl genehmigter Nebentaetigkeiten</w:t>
      </w:r>
    </w:p>
    <w:p>
      <w:pPr>
        <w:pStyle w:val="ListBullet"/>
      </w:pPr>
      <w:r>
        <w:t>Compliance-Audits ohne kritische Findings</w:t>
      </w:r>
    </w:p>
    <w:p>
      <w:pPr>
        <w:pStyle w:val="Heading3"/>
      </w:pPr>
      <w:r>
        <w:t>Verweise / Normen</w:t>
      </w:r>
    </w:p>
    <w:p>
      <w:pPr>
        <w:pStyle w:val="ListBullet"/>
      </w:pPr>
      <w:r>
        <w:t>§ 88 AktG</w:t>
      </w:r>
    </w:p>
    <w:p>
      <w:pPr>
        <w:pStyle w:val="ListBullet"/>
      </w:pPr>
      <w:r>
        <w:t>§ 181 BGB</w:t>
      </w:r>
    </w:p>
    <w:p>
      <w:pPr>
        <w:pStyle w:val="ListBullet"/>
      </w:pPr>
      <w:r>
        <w:t>Konzernrichtlinie Anti-Korruption</w:t>
      </w:r>
    </w:p>
    <w:p>
      <w:pPr>
        <w:pStyle w:val="ListBullet"/>
      </w:pPr>
      <w:r>
        <w:t>OECD Guidelines on MNE</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