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Kapitalmarkt</w:t>
      </w:r>
    </w:p>
    <w:p>
      <w:pPr>
        <w:jc w:val="center"/>
      </w:pPr>
      <w:r>
        <w:t>Verbindlich fuer Brennhagen Elektronik AG und alle Konzerngesellschaften (REG, RSG, RPL, RCZ, RHU, RCN, RHO); Stand 2023</w:t>
      </w:r>
    </w:p>
    <w:p/>
    <w:p>
      <w:pPr>
        <w:pStyle w:val="Heading3"/>
      </w:pPr>
      <w:r>
        <w:t>Praeambel</w:t>
      </w:r>
    </w:p>
    <w:p>
      <w:r>
        <w:t>Diese Konzernrichtlinie regelt das Themengebiet »Kapitalmarkt-Compliance und Insider-Recht«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Fuehrung eines aktuellen Insiderverzeichnisses gem. Art. 18 MAR</w:t>
      </w:r>
    </w:p>
    <w:p>
      <w:pPr>
        <w:pStyle w:val="ListBullet"/>
      </w:pPr>
      <w:r>
        <w:t>Closed-Period vor Quartalsmitteilungen (30 Tage) verbindlich</w:t>
      </w:r>
    </w:p>
    <w:p>
      <w:pPr>
        <w:pStyle w:val="ListBullet"/>
      </w:pPr>
      <w:r>
        <w:t>Ad-hoc-Mitteilungen gem. Art. 17 MAR ueber zertifizierten Verbreitungsdienst (EQS Group)</w:t>
      </w:r>
    </w:p>
    <w:p>
      <w:pPr>
        <w:pStyle w:val="ListBullet"/>
      </w:pPr>
      <w:r>
        <w:t>Directors' Dealings (PDMR-Geschaefte) Meldung binnen 3 Geschaeftstagen</w:t>
      </w:r>
    </w:p>
    <w:p>
      <w:pPr>
        <w:pStyle w:val="ListBullet"/>
      </w:pPr>
      <w:r>
        <w:t>Stimmrechtsmeldungen (3/5/10/15/20/25/30 %) gem. § 33 WpHG</w:t>
      </w:r>
    </w:p>
    <w:p>
      <w:pPr>
        <w:pStyle w:val="ListBullet"/>
      </w:pPr>
      <w:r>
        <w:t>Compliance-Schulung kapitalmarktrelevant fuer alle PDMR und nahestehenden Personen</w:t>
      </w:r>
    </w:p>
    <w:p>
      <w:pPr>
        <w:pStyle w:val="Heading3"/>
      </w:pPr>
      <w:r>
        <w:t>Verantwortlichkeiten</w:t>
      </w:r>
    </w:p>
    <w:p>
      <w:r>
        <w:t>Policy Owner: Group General Counsel / IR (Group Legal &amp; IR).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Termintreue Veroeffentlichung Quartalsberichte 100 %</w:t>
      </w:r>
    </w:p>
    <w:p>
      <w:pPr>
        <w:pStyle w:val="ListBullet"/>
      </w:pPr>
      <w:r>
        <w:t>Anzahl Ad-hoc-Mitteilungen pro Jahr (Reporting)</w:t>
      </w:r>
    </w:p>
    <w:p>
      <w:pPr>
        <w:pStyle w:val="ListBullet"/>
      </w:pPr>
      <w:r>
        <w:t>Anzahl Directors' Dealings-Meldungen 100 % fristgerecht</w:t>
      </w:r>
    </w:p>
    <w:p>
      <w:pPr>
        <w:pStyle w:val="ListBullet"/>
      </w:pPr>
      <w:r>
        <w:t>Schulungsabdeckung kapitalmarktrelevant &gt; 98 %</w:t>
      </w:r>
    </w:p>
    <w:p>
      <w:pPr>
        <w:pStyle w:val="Heading3"/>
      </w:pPr>
      <w:r>
        <w:t>Verweise / Normen</w:t>
      </w:r>
    </w:p>
    <w:p>
      <w:pPr>
        <w:pStyle w:val="ListBullet"/>
      </w:pPr>
      <w:r>
        <w:t>MAR (VO (EU) 596/2014)</w:t>
      </w:r>
    </w:p>
    <w:p>
      <w:pPr>
        <w:pStyle w:val="ListBullet"/>
      </w:pPr>
      <w:r>
        <w:t>WpHG</w:t>
      </w:r>
    </w:p>
    <w:p>
      <w:pPr>
        <w:pStyle w:val="ListBullet"/>
      </w:pPr>
      <w:r>
        <w:t>WpPG</w:t>
      </w:r>
    </w:p>
    <w:p>
      <w:pPr>
        <w:pStyle w:val="ListBullet"/>
      </w:pPr>
      <w:r>
        <w:t>Boersenordnung Frankfurter Wertpapierbörse</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