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Krise und BCP</w:t>
      </w:r>
    </w:p>
    <w:p>
      <w:pPr>
        <w:jc w:val="center"/>
      </w:pPr>
      <w:r>
        <w:t>Verbindlich fuer Brennhagen Elektronik AG und alle Konzerngesellschaften (REG, RSG, RPL, RCZ, RHU, RCN, RHO); Stand 2023</w:t>
      </w:r>
    </w:p>
    <w:p/>
    <w:p>
      <w:pPr>
        <w:pStyle w:val="Heading3"/>
      </w:pPr>
      <w:r>
        <w:t>Praeambel</w:t>
      </w:r>
    </w:p>
    <w:p>
      <w:r>
        <w:t>Diese Konzernrichtlinie regelt das Themengebiet »Krisenmanagement und Business Continuity Planning«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Etablierung Konzern-Krisenstab unter Leitung des CEO bei stufenweiser Krisenaktivierung</w:t>
      </w:r>
    </w:p>
    <w:p>
      <w:pPr>
        <w:pStyle w:val="ListBullet"/>
      </w:pPr>
      <w:r>
        <w:t>Business Impact Analysis (BIA) je Standort jaehrlich aktualisiert</w:t>
      </w:r>
    </w:p>
    <w:p>
      <w:pPr>
        <w:pStyle w:val="ListBullet"/>
      </w:pPr>
      <w:r>
        <w:t>Notfall- und Wiederanlaufplaene je kritischer Geschaeftsprozess</w:t>
      </w:r>
    </w:p>
    <w:p>
      <w:pPr>
        <w:pStyle w:val="ListBullet"/>
      </w:pPr>
      <w:r>
        <w:t>Krisenuebungen mind. jaehrlich je Standort (Tabletop oder Vollsimulation)</w:t>
      </w:r>
    </w:p>
    <w:p>
      <w:pPr>
        <w:pStyle w:val="ListBullet"/>
      </w:pPr>
      <w:r>
        <w:t>Konzern-weite Notfall-Kommunikationsmittel (Notfall-Alert-Tool, Mobile App)</w:t>
      </w:r>
    </w:p>
    <w:p>
      <w:pPr>
        <w:pStyle w:val="ListBullet"/>
      </w:pPr>
      <w:r>
        <w:t>Externe Krisen-PR-Beratung im Standby (Hering Schuppener)</w:t>
      </w:r>
    </w:p>
    <w:p>
      <w:pPr>
        <w:pStyle w:val="Heading3"/>
      </w:pPr>
      <w:r>
        <w:t>Verantwortlichkeiten</w:t>
      </w:r>
    </w:p>
    <w:p>
      <w:r>
        <w:t>Policy Owner: Group Risk &amp; BCM (Group Risk Management).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BIA-Aktualitaet 100 %</w:t>
      </w:r>
    </w:p>
    <w:p>
      <w:pPr>
        <w:pStyle w:val="ListBullet"/>
      </w:pPr>
      <w:r>
        <w:t>Anzahl Krisenuebungen pro Standort und Jahr &gt;= 1</w:t>
      </w:r>
    </w:p>
    <w:p>
      <w:pPr>
        <w:pStyle w:val="ListBullet"/>
      </w:pPr>
      <w:r>
        <w:t>RTO/RPO-Einhaltung in Uebungen</w:t>
      </w:r>
    </w:p>
    <w:p>
      <w:pPr>
        <w:pStyle w:val="ListBullet"/>
      </w:pPr>
      <w:r>
        <w:t>Krisenkommunikations-Aktivierungszeit &lt; 60 Min.</w:t>
      </w:r>
    </w:p>
    <w:p>
      <w:pPr>
        <w:pStyle w:val="Heading3"/>
      </w:pPr>
      <w:r>
        <w:t>Verweise / Normen</w:t>
      </w:r>
    </w:p>
    <w:p>
      <w:pPr>
        <w:pStyle w:val="ListBullet"/>
      </w:pPr>
      <w:r>
        <w:t>ISO 22301:2019 Business Continuity Management</w:t>
      </w:r>
    </w:p>
    <w:p>
      <w:pPr>
        <w:pStyle w:val="ListBullet"/>
      </w:pPr>
      <w:r>
        <w:t>BSI 200-4</w:t>
      </w:r>
    </w:p>
    <w:p>
      <w:pPr>
        <w:pStyle w:val="ListBullet"/>
      </w:pPr>
      <w:r>
        <w:t>EU NIS-2</w:t>
      </w:r>
    </w:p>
    <w:p>
      <w:pPr>
        <w:pStyle w:val="ListBullet"/>
      </w:pPr>
      <w:r>
        <w:t>internes BCM-Handbuch</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