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LkSG (Lieferkettensorgfaltspflichten)</w:t>
      </w:r>
    </w:p>
    <w:p>
      <w:pPr>
        <w:jc w:val="center"/>
      </w:pPr>
      <w:r>
        <w:t>Verbindlich fuer Brennhagen Elektronik AG und alle Konzerngesellschaften (REG, RSG, RPL, RCZ, RHU, RCN, RHO); Stand 2023</w:t>
      </w:r>
    </w:p>
    <w:p/>
    <w:p>
      <w:pPr>
        <w:pStyle w:val="Heading3"/>
      </w:pPr>
      <w:r>
        <w:t>Praeambel</w:t>
      </w:r>
    </w:p>
    <w:p>
      <w:r>
        <w:t>Diese Konzernrichtlinie regelt das Themengebiet »Lieferkettensorgfaltspflichten gem. LkSG«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Etablierung eines Risikomanagement-Systems gemaess § 4 LkSG</w:t>
      </w:r>
    </w:p>
    <w:p>
      <w:pPr>
        <w:pStyle w:val="ListBullet"/>
      </w:pPr>
      <w:r>
        <w:t>Jaehrliche Risikoanalyse aller Direktlieferanten (Tier 1) und ausgewaehlter Tier-2/3</w:t>
      </w:r>
    </w:p>
    <w:p>
      <w:pPr>
        <w:pStyle w:val="ListBullet"/>
      </w:pPr>
      <w:r>
        <w:t>Praeventions- und Abhilfemassnahmen bei festgestellten Risiken</w:t>
      </w:r>
    </w:p>
    <w:p>
      <w:pPr>
        <w:pStyle w:val="ListBullet"/>
      </w:pPr>
      <w:r>
        <w:t>Verbindlicher Lieferanten-Verhaltenskodex (Supplier Code of Conduct)</w:t>
      </w:r>
    </w:p>
    <w:p>
      <w:pPr>
        <w:pStyle w:val="ListBullet"/>
      </w:pPr>
      <w:r>
        <w:t>Beschwerdeverfahren fuer betroffene Personen entlang der Wertschoepfungskette</w:t>
      </w:r>
    </w:p>
    <w:p>
      <w:pPr>
        <w:pStyle w:val="ListBullet"/>
      </w:pPr>
      <w:r>
        <w:t>Jaehrlicher LkSG-Bericht an Bundesamt fuer Wirtschaft und Ausfuhrkontrolle (BAFA)</w:t>
      </w:r>
    </w:p>
    <w:p>
      <w:pPr>
        <w:pStyle w:val="Heading3"/>
      </w:pPr>
      <w:r>
        <w:t>Verantwortlichkeiten</w:t>
      </w:r>
    </w:p>
    <w:p>
      <w:r>
        <w:t>Policy Owner: Group Sustainability Officer (Group Sustainability / Procurement).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auditierter Lieferanten pro Jahr</w:t>
      </w:r>
    </w:p>
    <w:p>
      <w:pPr>
        <w:pStyle w:val="ListBullet"/>
      </w:pPr>
      <w:r>
        <w:t>Anzahl gemeldeter Beschwerden und Bearbeitungsstatus</w:t>
      </w:r>
    </w:p>
    <w:p>
      <w:pPr>
        <w:pStyle w:val="ListBullet"/>
      </w:pPr>
      <w:r>
        <w:t>Anteil Lieferanten mit unterzeichnetem Code of Conduct &gt; 95 %</w:t>
      </w:r>
    </w:p>
    <w:p>
      <w:pPr>
        <w:pStyle w:val="ListBullet"/>
      </w:pPr>
      <w:r>
        <w:t>Korrigierte Findings binnen 12 Monaten &gt; 90 %</w:t>
      </w:r>
    </w:p>
    <w:p>
      <w:pPr>
        <w:pStyle w:val="Heading3"/>
      </w:pPr>
      <w:r>
        <w:t>Verweise / Normen</w:t>
      </w:r>
    </w:p>
    <w:p>
      <w:pPr>
        <w:pStyle w:val="ListBullet"/>
      </w:pPr>
      <w:r>
        <w:t>LkSG (Lieferkettensorgfaltspflichtengesetz)</w:t>
      </w:r>
    </w:p>
    <w:p>
      <w:pPr>
        <w:pStyle w:val="ListBullet"/>
      </w:pPr>
      <w:r>
        <w:t>EU CSDDD (Vorbereitung)</w:t>
      </w:r>
    </w:p>
    <w:p>
      <w:pPr>
        <w:pStyle w:val="ListBullet"/>
      </w:pPr>
      <w:r>
        <w:t>UN Guiding Principles on Business and Human Rights</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