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Nachhaltigkeit / ESG</w:t>
      </w:r>
    </w:p>
    <w:p>
      <w:pPr>
        <w:jc w:val="center"/>
      </w:pPr>
      <w:r>
        <w:t>Verbindlich fuer Brennhagen Elektronik AG und alle Konzerngesellschaften (REG, RSG, RPL, RCZ, RHU, RCN, RHO); Stand 2023</w:t>
      </w:r>
    </w:p>
    <w:p/>
    <w:p>
      <w:pPr>
        <w:pStyle w:val="Heading3"/>
      </w:pPr>
      <w:r>
        <w:t>Praeambel</w:t>
      </w:r>
    </w:p>
    <w:p>
      <w:r>
        <w:t>Diese Konzernrichtlinie regelt das Themengebiet »Nachhaltigkeit (Environmental, Social, Governance)«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Konzern-Klimaziele: Scope 1+2 -55 % bis 2030 (Basisjahr 2019), Net Zero 2045</w:t>
      </w:r>
    </w:p>
    <w:p>
      <w:pPr>
        <w:pStyle w:val="ListBullet"/>
      </w:pPr>
      <w:r>
        <w:t>Scope 3 Reduktion durch Lieferanten-Programme und Produkt-CO2-Footprint</w:t>
      </w:r>
    </w:p>
    <w:p>
      <w:pPr>
        <w:pStyle w:val="ListBullet"/>
      </w:pPr>
      <w:r>
        <w:t>ESG-Reporting nach CSRD / ESRS ab Geschaeftsjahr 2024</w:t>
      </w:r>
    </w:p>
    <w:p>
      <w:pPr>
        <w:pStyle w:val="ListBullet"/>
      </w:pPr>
      <w:r>
        <w:t>Validierung Klimaziele durch Science Based Targets initiative (SBTi)</w:t>
      </w:r>
    </w:p>
    <w:p>
      <w:pPr>
        <w:pStyle w:val="ListBullet"/>
      </w:pPr>
      <w:r>
        <w:t>Diversitaets- und Inklusionsstrategie: Frauenanteil Fuehrung &gt; 30 % bis 2026</w:t>
      </w:r>
    </w:p>
    <w:p>
      <w:pPr>
        <w:pStyle w:val="ListBullet"/>
      </w:pPr>
      <w:r>
        <w:t>EU-Taxonomie-Reporting verpflichtend</w:t>
      </w:r>
    </w:p>
    <w:p>
      <w:pPr>
        <w:pStyle w:val="Heading3"/>
      </w:pPr>
      <w:r>
        <w:t>Verantwortlichkeiten</w:t>
      </w:r>
    </w:p>
    <w:p>
      <w:r>
        <w:t>Policy Owner: Group Sustainability Officer (Group Sustainability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CO2-Emissionen Scope 1+2 jaehrlich (absolut und intensitaetsnormiert)</w:t>
      </w:r>
    </w:p>
    <w:p>
      <w:pPr>
        <w:pStyle w:val="ListBullet"/>
      </w:pPr>
      <w:r>
        <w:t>Anteil erneuerbare Energien im Strommix &gt; 80 % bis 2026</w:t>
      </w:r>
    </w:p>
    <w:p>
      <w:pPr>
        <w:pStyle w:val="ListBullet"/>
      </w:pPr>
      <w:r>
        <w:t>Frauenanteil Fuehrungspositionen (Reporting jaehrlich)</w:t>
      </w:r>
    </w:p>
    <w:p>
      <w:pPr>
        <w:pStyle w:val="ListBullet"/>
      </w:pPr>
      <w:r>
        <w:t>EU-Taxonomie konforme Umsatz-/CAPEX-Anteile</w:t>
      </w:r>
    </w:p>
    <w:p>
      <w:pPr>
        <w:pStyle w:val="Heading3"/>
      </w:pPr>
      <w:r>
        <w:t>Verweise / Normen</w:t>
      </w:r>
    </w:p>
    <w:p>
      <w:pPr>
        <w:pStyle w:val="ListBullet"/>
      </w:pPr>
      <w:r>
        <w:t>EU CSRD / ESRS</w:t>
      </w:r>
    </w:p>
    <w:p>
      <w:pPr>
        <w:pStyle w:val="ListBullet"/>
      </w:pPr>
      <w:r>
        <w:t>EU Taxonomy Regulation</w:t>
      </w:r>
    </w:p>
    <w:p>
      <w:pPr>
        <w:pStyle w:val="ListBullet"/>
      </w:pPr>
      <w:r>
        <w:t>TCFD</w:t>
      </w:r>
    </w:p>
    <w:p>
      <w:pPr>
        <w:pStyle w:val="ListBullet"/>
      </w:pPr>
      <w:r>
        <w:t>GHG Protocol</w:t>
      </w:r>
    </w:p>
    <w:p>
      <w:pPr>
        <w:pStyle w:val="ListBullet"/>
      </w:pPr>
      <w:r>
        <w:t>ISO 14001/50001</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