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Konzernrichtlinie Outsourcing</w:t>
      </w:r>
    </w:p>
    <w:p>
      <w:pPr>
        <w:jc w:val="center"/>
      </w:pPr>
      <w:r>
        <w:t>Verbindlich fuer Brennhagen Elektronik AG und alle Konzerngesellschaften (REG, RSG, RPL, RCZ, RHU, RCN, RHO); Stand 2023</w:t>
      </w:r>
    </w:p>
    <w:p/>
    <w:p>
      <w:pPr>
        <w:pStyle w:val="Heading3"/>
      </w:pPr>
      <w:r>
        <w:t>Praeambel</w:t>
      </w:r>
    </w:p>
    <w:p>
      <w:r>
        <w:t>Diese Konzernrichtlinie regelt das Themengebiet »Outsourcing und Sourcing-Strategie« fuer den Brennhagen-Konzern und ist verbindlich fuer alle Beschaeftigten der Brennhagen Elektronik AG (Stuttgart, HRB 726451) sowie aller direkten und indirekten Tochtergesellschaften. Sie wurde vom Vorstand der Brennhagen Elektronik AG am 14. Maerz 2023 beschlossen und durch den Aufsichtsrat in der Sitzung vom 22. Maerz 2023 zur Kenntnis genommen. Die Richtlinie ersetzt die Vorgaengerversion 2020 vollumfaenglich.</w:t>
      </w:r>
    </w:p>
    <w:p>
      <w:r>
        <w:t>Die Konzernrichtlinie ist in allen relevanten Konzernsprachen (Deutsch, Englisch, Polnisch, Tschechisch, Ungarisch, Chinesisch) verfuegbar und wird ueber das Group Compliance Portal (SharePoint /compliance/richtlinien) zur Verfuegung gestellt. Im Konfliktfall ist die deutsche Fassung massgeblich.</w:t>
      </w:r>
    </w:p>
    <w:p>
      <w:pPr>
        <w:pStyle w:val="Heading3"/>
      </w:pPr>
      <w:r>
        <w:t>Geltungsbereich</w:t>
      </w:r>
    </w:p>
    <w:p>
      <w:r>
        <w:t>Sachlich: Alle Geschaeftsvorfaelle, Prozesse und Entscheidungen im Anwendungsbereich des genannten Themengebiets.</w:t>
      </w:r>
    </w:p>
    <w:p>
      <w:r>
        <w:t>Persoenlich: Alle Mitarbeiter, Vorstaende, Geschaeftsfuehrer, Prokuristen, Handlungsbevollmaechtigten und Aufsichtsorgane der Konzerngesellschaften; entsprechend vertragliche Verpflichtung externer Berater, Zeitarbeitnehmer und wesentlicher Lieferanten.</w:t>
      </w:r>
    </w:p>
    <w:p>
      <w:r>
        <w:t>Raeumlich: Sitze und Niederlassungen in DE (Stuttgart, Heilbronn, Muenchen), PL (Katowice), CZ (Brno), HU (Gyoer) und CN (Shanghai).</w:t>
      </w:r>
    </w:p>
    <w:p>
      <w:pPr>
        <w:pStyle w:val="Heading3"/>
      </w:pPr>
      <w:r>
        <w:t>Grundsaetze und Kernanforderungen</w:t>
      </w:r>
    </w:p>
    <w:p>
      <w:pPr>
        <w:pStyle w:val="ListBullet"/>
      </w:pPr>
      <w:r>
        <w:t>Outsourcing-Entscheidungen ueber Sourcing-Komitee (Vorstand-Vorsitz, CFO, CPO)</w:t>
      </w:r>
    </w:p>
    <w:p>
      <w:pPr>
        <w:pStyle w:val="ListBullet"/>
      </w:pPr>
      <w:r>
        <w:t>Make-or-Buy-Analyse standardisiert (TCO-Modell, strategische Bedeutung)</w:t>
      </w:r>
    </w:p>
    <w:p>
      <w:pPr>
        <w:pStyle w:val="ListBullet"/>
      </w:pPr>
      <w:r>
        <w:t>Wesentliche Outsourcing-Vertraege Genehmigungspflicht durch Vorstand ab 5 Mio. EUR p. a.</w:t>
      </w:r>
    </w:p>
    <w:p>
      <w:pPr>
        <w:pStyle w:val="ListBullet"/>
      </w:pPr>
      <w:r>
        <w:t>Risikomanagement und Lieferanten-Audit bei kritischen Outsourcing-Partnern</w:t>
      </w:r>
    </w:p>
    <w:p>
      <w:pPr>
        <w:pStyle w:val="ListBullet"/>
      </w:pPr>
      <w:r>
        <w:t>Backup-/Notfall-Plaene bei kritischen Outsourcing-Funktionen verpflichtend</w:t>
      </w:r>
    </w:p>
    <w:p>
      <w:pPr>
        <w:pStyle w:val="ListBullet"/>
      </w:pPr>
      <w:r>
        <w:t>Exit-Strategie bei jedem Outsourcing-Vertrag dokumentiert</w:t>
      </w:r>
    </w:p>
    <w:p>
      <w:pPr>
        <w:pStyle w:val="Heading3"/>
      </w:pPr>
      <w:r>
        <w:t>Verantwortlichkeiten</w:t>
      </w:r>
    </w:p>
    <w:p>
      <w:r>
        <w:t>Policy Owner: Group CPO (Group Procurement). Verantwortlich fuer Pflege, Auslegung und Schulung. Vorstandsverantwortung: CEO Anna Mueller / CFO Laura Bauer (je nach Themengebiet). Lokale Umsetzungsverantwortung tragen die jeweiligen Geschaeftsfuehrer der Tochtergesellschaften. Verstoesse sind ueber die Hinweisgeber-Hotline (siehe Konzernrichtlinie Whistleblowing) zu melden.</w:t>
      </w:r>
    </w:p>
    <w:p>
      <w:pPr>
        <w:pStyle w:val="Heading3"/>
      </w:pPr>
      <w:r>
        <w:t>Kennzahlen / Monitoring</w:t>
      </w:r>
    </w:p>
    <w:p>
      <w:pPr>
        <w:pStyle w:val="ListBullet"/>
      </w:pPr>
      <w:r>
        <w:t>Anteil Outsourcing-Vertraege mit aktiver Risikobewertung 100 %</w:t>
      </w:r>
    </w:p>
    <w:p>
      <w:pPr>
        <w:pStyle w:val="ListBullet"/>
      </w:pPr>
      <w:r>
        <w:t>Anzahl Audits kritischer Outsourcing-Partner pro Jahr</w:t>
      </w:r>
    </w:p>
    <w:p>
      <w:pPr>
        <w:pStyle w:val="ListBullet"/>
      </w:pPr>
      <w:r>
        <w:t>TCO-Einsparungen aus Sourcing-Initiativen (Reporting jaehrlich)</w:t>
      </w:r>
    </w:p>
    <w:p>
      <w:pPr>
        <w:pStyle w:val="ListBullet"/>
      </w:pPr>
      <w:r>
        <w:t>Anzahl Outsourcing-bedingter Vorfaelle pro Jahr (Reporting)</w:t>
      </w:r>
    </w:p>
    <w:p>
      <w:pPr>
        <w:pStyle w:val="Heading3"/>
      </w:pPr>
      <w:r>
        <w:t>Verweise / Normen</w:t>
      </w:r>
    </w:p>
    <w:p>
      <w:pPr>
        <w:pStyle w:val="ListBullet"/>
      </w:pPr>
      <w:r>
        <w:t>Konzernrichtlinie Unterschriftenregelung</w:t>
      </w:r>
    </w:p>
    <w:p>
      <w:pPr>
        <w:pStyle w:val="ListBullet"/>
      </w:pPr>
      <w:r>
        <w:t>Konzernrichtlinie Risiko-Management</w:t>
      </w:r>
    </w:p>
    <w:p>
      <w:pPr>
        <w:pStyle w:val="ListBullet"/>
      </w:pPr>
      <w:r>
        <w:t>ISO 31000 (Risk Management)</w:t>
      </w:r>
    </w:p>
    <w:p>
      <w:pPr>
        <w:pStyle w:val="ListBullet"/>
      </w:pPr>
      <w:r>
        <w:t>BaFin MaRisk (sofern anwendbar bei Finanztochter)</w:t>
      </w:r>
    </w:p>
    <w:p>
      <w:pPr>
        <w:pStyle w:val="Heading3"/>
      </w:pPr>
      <w:r>
        <w:t>Inkrafttreten und Revision</w:t>
      </w:r>
    </w:p>
    <w:p>
      <w:r>
        <w:t>Inkrafttreten: 1. April 2023. Naechste planmaessige Revision: Q1/2026 (Drei-Jahres-Zyklus). Ad-hoc-Revision bei wesentlichen regulatorischen Aenderungen. Versionierung im Group Policy Management System (PMS), Eigentuemer: Group Compliance Office, Stuttgart.</w:t>
      </w:r>
    </w:p>
    <w:p>
      <w:pPr>
        <w:pStyle w:val="Heading3"/>
      </w:pPr>
      <w:r>
        <w:t>Unterschriften / Freigabe</w:t>
      </w:r>
    </w:p>
    <w:p>
      <w:r>
        <w:t>Ort, Datum: Stuttgart, den 14. Maerz 2023</w:t>
      </w:r>
    </w:p>
    <w:p>
      <w:r>
        <w:t>_________________________            _________________________</w:t>
        <w:br/>
        <w:t>Anna Mueller                          Laura Bauer</w:t>
        <w:br/>
        <w:t>Vorstandsvorsitzende                          CFO</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