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Konzernrichtlinie Personalentwicklung</w:t>
      </w:r>
    </w:p>
    <w:p>
      <w:pPr>
        <w:jc w:val="center"/>
      </w:pPr>
      <w:r>
        <w:t>Verbindlich fuer Brennhagen Elektronik AG und alle Konzerngesellschaften (REG, RSG, RPL, RCZ, RHU, RCN, RHO); Stand 2023</w:t>
      </w:r>
    </w:p>
    <w:p/>
    <w:p>
      <w:pPr>
        <w:pStyle w:val="Heading3"/>
      </w:pPr>
      <w:r>
        <w:t>Praeambel</w:t>
      </w:r>
    </w:p>
    <w:p>
      <w:r>
        <w:t>Diese Konzernrichtlinie regelt das Themengebiet »Personalentwicklung und Talent Management« fuer den Brennhagen-Konzern und ist verbindlich fuer alle Beschaeftigten der Brennhagen Elektronik AG (Stuttgart, HRB 726451) sowie aller direkten und indirekten Tochtergesellschaften. Sie wurde vom Vorstand der Brennhagen Elektronik AG am 14. Maerz 2023 beschlossen und durch den Aufsichtsrat in der Sitzung vom 22. Maerz 2023 zur Kenntnis genommen. Die Richtlinie ersetzt die Vorgaengerversion 2020 vollumfaenglich.</w:t>
      </w:r>
    </w:p>
    <w:p>
      <w:r>
        <w:t>Die Konzernrichtlinie ist in allen relevanten Konzernsprachen (Deutsch, Englisch, Polnisch, Tschechisch, Ungarisch, Chinesisch) verfuegbar und wird ueber das Group Compliance Portal (SharePoint /compliance/richtlinien) zur Verfuegung gestellt. Im Konfliktfall ist die deutsche Fassung massgeblich.</w:t>
      </w:r>
    </w:p>
    <w:p>
      <w:pPr>
        <w:pStyle w:val="Heading3"/>
      </w:pPr>
      <w:r>
        <w:t>Geltungsbereich</w:t>
      </w:r>
    </w:p>
    <w:p>
      <w:r>
        <w:t>Sachlich: Alle Geschaeftsvorfaelle, Prozesse und Entscheidungen im Anwendungsbereich des genannten Themengebiets.</w:t>
      </w:r>
    </w:p>
    <w:p>
      <w:r>
        <w:t>Persoenlich: Alle Mitarbeiter, Vorstaende, Geschaeftsfuehrer, Prokuristen, Handlungsbevollmaechtigten und Aufsichtsorgane der Konzerngesellschaften; entsprechend vertragliche Verpflichtung externer Berater, Zeitarbeitnehmer und wesentlicher Lieferanten.</w:t>
      </w:r>
    </w:p>
    <w:p>
      <w:r>
        <w:t>Raeumlich: Sitze und Niederlassungen in DE (Stuttgart, Heilbronn, Muenchen), PL (Katowice), CZ (Brno), HU (Gyoer) und CN (Shanghai).</w:t>
      </w:r>
    </w:p>
    <w:p>
      <w:pPr>
        <w:pStyle w:val="Heading3"/>
      </w:pPr>
      <w:r>
        <w:t>Grundsaetze und Kernanforderungen</w:t>
      </w:r>
    </w:p>
    <w:p>
      <w:pPr>
        <w:pStyle w:val="ListBullet"/>
      </w:pPr>
      <w:r>
        <w:t>Jaehrliches Mitarbeitergespraech (PE-Gespraech) mit Zielvereinbarung und Entwicklungsplanung</w:t>
      </w:r>
    </w:p>
    <w:p>
      <w:pPr>
        <w:pStyle w:val="ListBullet"/>
      </w:pPr>
      <w:r>
        <w:t>Talent-Pool fuer Schluesselpositionen mit Nachfolgeplanung</w:t>
      </w:r>
    </w:p>
    <w:p>
      <w:pPr>
        <w:pStyle w:val="ListBullet"/>
      </w:pPr>
      <w:r>
        <w:t>Weiterbildungsbudget pro Mitarbeiter mind. 800 EUR p. a.</w:t>
      </w:r>
    </w:p>
    <w:p>
      <w:pPr>
        <w:pStyle w:val="ListBullet"/>
      </w:pPr>
      <w:r>
        <w:t>Leadership-Programme fuer Erst- und Zweitlinien-Fuehrungskraefte</w:t>
      </w:r>
    </w:p>
    <w:p>
      <w:pPr>
        <w:pStyle w:val="ListBullet"/>
      </w:pPr>
      <w:r>
        <w:t>Mentoring-Programm konzernweit</w:t>
      </w:r>
    </w:p>
    <w:p>
      <w:pPr>
        <w:pStyle w:val="ListBullet"/>
      </w:pPr>
      <w:r>
        <w:t>Job-Rotation und Auslandseinsaetze (insbesondere zwischen DE / PL / CZ / HU / CN)</w:t>
      </w:r>
    </w:p>
    <w:p>
      <w:pPr>
        <w:pStyle w:val="Heading3"/>
      </w:pPr>
      <w:r>
        <w:t>Verantwortlichkeiten</w:t>
      </w:r>
    </w:p>
    <w:p>
      <w:r>
        <w:t>Policy Owner: Group CHRO (Group HR). Verantwortlich fuer Pflege, Auslegung und Schulung. Vorstandsverantwortung: CEO Anna Mueller / CFO Laura Bauer (je nach Themengebiet). Lokale Umsetzungsverantwortung tragen die jeweiligen Geschaeftsfuehrer der Tochtergesellschaften. Verstoesse sind ueber die Hinweisgeber-Hotline (siehe Konzernrichtlinie Whistleblowing) zu melden.</w:t>
      </w:r>
    </w:p>
    <w:p>
      <w:pPr>
        <w:pStyle w:val="Heading3"/>
      </w:pPr>
      <w:r>
        <w:t>Kennzahlen / Monitoring</w:t>
      </w:r>
    </w:p>
    <w:p>
      <w:pPr>
        <w:pStyle w:val="ListBullet"/>
      </w:pPr>
      <w:r>
        <w:t>Anteil Mitarbeiter mit gefuehrtem PE-Gespraech &gt; 95 %</w:t>
      </w:r>
    </w:p>
    <w:p>
      <w:pPr>
        <w:pStyle w:val="ListBullet"/>
      </w:pPr>
      <w:r>
        <w:t>Nachfolgeabdeckung kritischer Positionen &gt;= 2 Kandidaten je Position</w:t>
      </w:r>
    </w:p>
    <w:p>
      <w:pPr>
        <w:pStyle w:val="ListBullet"/>
      </w:pPr>
      <w:r>
        <w:t>Anzahl Weiterbildungstage pro Mitarbeiter und Jahr &gt; 5</w:t>
      </w:r>
    </w:p>
    <w:p>
      <w:pPr>
        <w:pStyle w:val="ListBullet"/>
      </w:pPr>
      <w:r>
        <w:t>Mitarbeiterzufriedenheit (Engagement Survey) &gt; 75 %</w:t>
      </w:r>
    </w:p>
    <w:p>
      <w:pPr>
        <w:pStyle w:val="Heading3"/>
      </w:pPr>
      <w:r>
        <w:t>Verweise / Normen</w:t>
      </w:r>
    </w:p>
    <w:p>
      <w:pPr>
        <w:pStyle w:val="ListBullet"/>
      </w:pPr>
      <w:r>
        <w:t>BetrVG</w:t>
      </w:r>
    </w:p>
    <w:p>
      <w:pPr>
        <w:pStyle w:val="ListBullet"/>
      </w:pPr>
      <w:r>
        <w:t>ArbZG</w:t>
      </w:r>
    </w:p>
    <w:p>
      <w:pPr>
        <w:pStyle w:val="ListBullet"/>
      </w:pPr>
      <w:r>
        <w:t>internes Personalhandbuch</w:t>
      </w:r>
    </w:p>
    <w:p>
      <w:pPr>
        <w:pStyle w:val="Heading3"/>
      </w:pPr>
      <w:r>
        <w:t>Inkrafttreten und Revision</w:t>
      </w:r>
    </w:p>
    <w:p>
      <w:r>
        <w:t>Inkrafttreten: 1. April 2023. Naechste planmaessige Revision: Q1/2026 (Drei-Jahres-Zyklus). Ad-hoc-Revision bei wesentlichen regulatorischen Aenderungen. Versionierung im Group Policy Management System (PMS), Eigentuemer: Group Compliance Office, Stuttgart.</w:t>
      </w:r>
    </w:p>
    <w:p>
      <w:pPr>
        <w:pStyle w:val="Heading3"/>
      </w:pPr>
      <w:r>
        <w:t>Unterschriften / Freigabe</w:t>
      </w:r>
    </w:p>
    <w:p>
      <w:r>
        <w:t>Ort, Datum: Stuttgart, den 14. Maerz 2023</w:t>
      </w:r>
    </w:p>
    <w:p>
      <w:r>
        <w:t>_________________________            _________________________</w:t>
        <w:br/>
        <w:t>Anna Mueller                          Laura Bauer</w:t>
        <w:br/>
        <w:t>Vorstandsvorsitzende                          CFO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