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Social Media</w:t>
      </w:r>
    </w:p>
    <w:p>
      <w:pPr>
        <w:jc w:val="center"/>
      </w:pPr>
      <w:r>
        <w:t>Verbindlich fuer Brennhagen Elektronik AG und alle Konzerngesellschaften (REG, RSG, RPL, RCZ, RHU, RCN, RHO); Stand 2023</w:t>
      </w:r>
    </w:p>
    <w:p/>
    <w:p>
      <w:pPr>
        <w:pStyle w:val="Heading3"/>
      </w:pPr>
      <w:r>
        <w:t>Praeambel</w:t>
      </w:r>
    </w:p>
    <w:p>
      <w:r>
        <w:t>Diese Konzernrichtlinie regelt das Themengebiet »Social Media Nutzung«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Klare Trennung zwischen offizieller Konzernkommunikation und privater Mitarbeiterkommunikation</w:t>
      </w:r>
    </w:p>
    <w:p>
      <w:pPr>
        <w:pStyle w:val="ListBullet"/>
      </w:pPr>
      <w:r>
        <w:t>Verbot der Veroeffentlichung vertraulicher Geschaefts- und Kundendaten in Social Media</w:t>
      </w:r>
    </w:p>
    <w:p>
      <w:pPr>
        <w:pStyle w:val="ListBullet"/>
      </w:pPr>
      <w:r>
        <w:t>Pflicht zur Kennzeichnung als Mitarbeiter, wenn ueber den Konzern berichtet wird</w:t>
      </w:r>
    </w:p>
    <w:p>
      <w:pPr>
        <w:pStyle w:val="ListBullet"/>
      </w:pPr>
      <w:r>
        <w:t>Krisenkommunikation in Social Media ausschliesslich durch Corporate Communications</w:t>
      </w:r>
    </w:p>
    <w:p>
      <w:pPr>
        <w:pStyle w:val="ListBullet"/>
      </w:pPr>
      <w:r>
        <w:t>Vorgaben zur DSGVO-konformen Verwendung von Mitarbeiterfotos</w:t>
      </w:r>
    </w:p>
    <w:p>
      <w:pPr>
        <w:pStyle w:val="ListBullet"/>
      </w:pPr>
      <w:r>
        <w:t>Schulungspflicht fuer Mitarbeiter mit Aussenwirkung (Sales, IR, PR)</w:t>
      </w:r>
    </w:p>
    <w:p>
      <w:pPr>
        <w:pStyle w:val="Heading3"/>
      </w:pPr>
      <w:r>
        <w:t>Verantwortlichkeiten</w:t>
      </w:r>
    </w:p>
    <w:p>
      <w:r>
        <w:t>Policy Owner: Group Communications (Group Corporate Communications).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Anzahl Social-Media-Compliance-Vorfaelle pro Jahr (Reporting)</w:t>
      </w:r>
    </w:p>
    <w:p>
      <w:pPr>
        <w:pStyle w:val="ListBullet"/>
      </w:pPr>
      <w:r>
        <w:t>Schulungsabdeckung der relevanten Funktionen &gt; 90 %</w:t>
      </w:r>
    </w:p>
    <w:p>
      <w:pPr>
        <w:pStyle w:val="ListBullet"/>
      </w:pPr>
      <w:r>
        <w:t>Anzahl gemeldeter unzulaessiger Beitraege pro Quartal</w:t>
      </w:r>
    </w:p>
    <w:p>
      <w:pPr>
        <w:pStyle w:val="ListBullet"/>
      </w:pPr>
      <w:r>
        <w:t>Reaktionszeit Krisenkommunikation &lt; 4h</w:t>
      </w:r>
    </w:p>
    <w:p>
      <w:pPr>
        <w:pStyle w:val="Heading3"/>
      </w:pPr>
      <w:r>
        <w:t>Verweise / Normen</w:t>
      </w:r>
    </w:p>
    <w:p>
      <w:pPr>
        <w:pStyle w:val="ListBullet"/>
      </w:pPr>
      <w:r>
        <w:t>MAR</w:t>
      </w:r>
    </w:p>
    <w:p>
      <w:pPr>
        <w:pStyle w:val="ListBullet"/>
      </w:pPr>
      <w:r>
        <w:t>DSGVO</w:t>
      </w:r>
    </w:p>
    <w:p>
      <w:pPr>
        <w:pStyle w:val="ListBullet"/>
      </w:pPr>
      <w:r>
        <w:t>UWG</w:t>
      </w:r>
    </w:p>
    <w:p>
      <w:pPr>
        <w:pStyle w:val="ListBullet"/>
      </w:pPr>
      <w:r>
        <w:t>internes Kommunikationshandbuch</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