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Konzernrichtlinie Treasury</w:t>
      </w:r>
    </w:p>
    <w:p>
      <w:pPr>
        <w:jc w:val="center"/>
      </w:pPr>
      <w:r>
        <w:t>Verbindlich fuer Brennhagen Elektronik AG und alle Konzerngesellschaften (REG, RSG, RPL, RCZ, RHU, RCN, RHO); Stand 2023</w:t>
      </w:r>
    </w:p>
    <w:p/>
    <w:p>
      <w:pPr>
        <w:pStyle w:val="Heading3"/>
      </w:pPr>
      <w:r>
        <w:t>Praeambel</w:t>
      </w:r>
    </w:p>
    <w:p>
      <w:r>
        <w:t>Diese Konzernrichtlinie regelt das Themengebiet »Konzern-Treasury (Cash Management, FX, Finanzierung)« fuer den Brennhagen-Konzern und ist verbindlich fuer alle Beschaeftigten der Brennhagen Elektronik AG (Stuttgart, HRB 726451) sowie aller direkten und indirekten Tochtergesellschaften. Sie wurde vom Vorstand der Brennhagen Elektronik AG am 14. Maerz 2023 beschlossen und durch den Aufsichtsrat in der Sitzung vom 22. Maerz 2023 zur Kenntnis genommen. Die Richtlinie ersetzt die Vorgaengerversion 2020 vollumfaenglich.</w:t>
      </w:r>
    </w:p>
    <w:p>
      <w:r>
        <w:t>Die Konzernrichtlinie ist in allen relevanten Konzernsprachen (Deutsch, Englisch, Polnisch, Tschechisch, Ungarisch, Chinesisch) verfuegbar und wird ueber das Group Compliance Portal (SharePoint /compliance/richtlinien) zur Verfuegung gestellt. Im Konfliktfall ist die deutsche Fassung massgeblich.</w:t>
      </w:r>
    </w:p>
    <w:p>
      <w:pPr>
        <w:pStyle w:val="Heading3"/>
      </w:pPr>
      <w:r>
        <w:t>Geltungsbereich</w:t>
      </w:r>
    </w:p>
    <w:p>
      <w:r>
        <w:t>Sachlich: Alle Geschaeftsvorfaelle, Prozesse und Entscheidungen im Anwendungsbereich des genannten Themengebiets.</w:t>
      </w:r>
    </w:p>
    <w:p>
      <w:r>
        <w:t>Persoenlich: Alle Mitarbeiter, Vorstaende, Geschaeftsfuehrer, Prokuristen, Handlungsbevollmaechtigten und Aufsichtsorgane der Konzerngesellschaften; entsprechend vertragliche Verpflichtung externer Berater, Zeitarbeitnehmer und wesentlicher Lieferanten.</w:t>
      </w:r>
    </w:p>
    <w:p>
      <w:r>
        <w:t>Raeumlich: Sitze und Niederlassungen in DE (Stuttgart, Heilbronn, Muenchen), PL (Katowice), CZ (Brno), HU (Gyoer) und CN (Shanghai).</w:t>
      </w:r>
    </w:p>
    <w:p>
      <w:pPr>
        <w:pStyle w:val="Heading3"/>
      </w:pPr>
      <w:r>
        <w:t>Grundsaetze und Kernanforderungen</w:t>
      </w:r>
    </w:p>
    <w:p>
      <w:pPr>
        <w:pStyle w:val="ListBullet"/>
      </w:pPr>
      <w:r>
        <w:t>Cash-Pooling EUR ueber zentrale Konzern-Cash-Pool-Struktur (Deutsche Bank, Commerzbank)</w:t>
      </w:r>
    </w:p>
    <w:p>
      <w:pPr>
        <w:pStyle w:val="ListBullet"/>
      </w:pPr>
      <w:r>
        <w:t>FX-Hedging-Quote 80–90 % der erwarteten EUR-Exposures (CNY, USD, CZK, HUF, PLN)</w:t>
      </w:r>
    </w:p>
    <w:p>
      <w:pPr>
        <w:pStyle w:val="ListBullet"/>
      </w:pPr>
      <w:r>
        <w:t>Hedging ausschliesslich mit Banken aus der 5-Kernbanken-Liste</w:t>
      </w:r>
    </w:p>
    <w:p>
      <w:pPr>
        <w:pStyle w:val="ListBullet"/>
      </w:pPr>
      <w:r>
        <w:t>Anlage liquider Mittel ausschliesslich in Investment-Grade-Geldmarktinstrumenten</w:t>
      </w:r>
    </w:p>
    <w:p>
      <w:pPr>
        <w:pStyle w:val="ListBullet"/>
      </w:pPr>
      <w:r>
        <w:t>Kreditaufnahme &gt; 25 Mio. EUR ausschliesslich mit Vorstandsfreigabe (CFO + CEO)</w:t>
      </w:r>
    </w:p>
    <w:p>
      <w:pPr>
        <w:pStyle w:val="ListBullet"/>
      </w:pPr>
      <w:r>
        <w:t>Quartalsweises Treasury-Reporting an Vorstand und Aufsichtsrat (CFO-Bericht)</w:t>
      </w:r>
    </w:p>
    <w:p>
      <w:pPr>
        <w:pStyle w:val="Heading3"/>
      </w:pPr>
      <w:r>
        <w:t>Verantwortlichkeiten</w:t>
      </w:r>
    </w:p>
    <w:p>
      <w:r>
        <w:t>Policy Owner: Group Treasurer (Markus Pflanzer). Verantwortlich fuer Pflege, Auslegung und Schulung. Vorstandsverantwortung: CEO Anna Mueller / CFO Laura Bauer (je nach Themengebiet). Lokale Umsetzungsverantwortung tragen die jeweiligen Geschaeftsfuehrer der Tochtergesellschaften. Verstoesse sind ueber die Hinweisgeber-Hotline (siehe Konzernrichtlinie Whistleblowing) zu melden.</w:t>
      </w:r>
    </w:p>
    <w:p>
      <w:pPr>
        <w:pStyle w:val="Heading3"/>
      </w:pPr>
      <w:r>
        <w:t>Kennzahlen / Monitoring</w:t>
      </w:r>
    </w:p>
    <w:p>
      <w:pPr>
        <w:pStyle w:val="ListBullet"/>
      </w:pPr>
      <w:r>
        <w:t>Net Debt / EBITDA &lt;= 3,0x (Covenant)</w:t>
      </w:r>
    </w:p>
    <w:p>
      <w:pPr>
        <w:pStyle w:val="ListBullet"/>
      </w:pPr>
      <w:r>
        <w:t>Interest Coverage Ratio &gt;= 4,0x (Covenant)</w:t>
      </w:r>
    </w:p>
    <w:p>
      <w:pPr>
        <w:pStyle w:val="ListBullet"/>
      </w:pPr>
      <w:r>
        <w:t>Eigenkapitalquote &gt;= 30 % (Covenant)</w:t>
      </w:r>
    </w:p>
    <w:p>
      <w:pPr>
        <w:pStyle w:val="ListBullet"/>
      </w:pPr>
      <w:r>
        <w:t>Hedging-Quote pro Waehrungspaar (Reporting jaehrlich)</w:t>
      </w:r>
    </w:p>
    <w:p>
      <w:pPr>
        <w:pStyle w:val="Heading3"/>
      </w:pPr>
      <w:r>
        <w:t>Verweise / Normen</w:t>
      </w:r>
    </w:p>
    <w:p>
      <w:pPr>
        <w:pStyle w:val="ListBullet"/>
      </w:pPr>
      <w:r>
        <w:t>IFRS 9 (Hedge Accounting)</w:t>
      </w:r>
    </w:p>
    <w:p>
      <w:pPr>
        <w:pStyle w:val="ListBullet"/>
      </w:pPr>
      <w:r>
        <w:t>Konsortialkreditvertrag 2022</w:t>
      </w:r>
    </w:p>
    <w:p>
      <w:pPr>
        <w:pStyle w:val="ListBullet"/>
      </w:pPr>
      <w:r>
        <w:t>BaFin-MaRisk soweit anwendbar</w:t>
      </w:r>
    </w:p>
    <w:p>
      <w:pPr>
        <w:pStyle w:val="Heading3"/>
      </w:pPr>
      <w:r>
        <w:t>Inkrafttreten und Revision</w:t>
      </w:r>
    </w:p>
    <w:p>
      <w:r>
        <w:t>Inkrafttreten: 1. April 2023. Naechste planmaessige Revision: Q1/2026 (Drei-Jahres-Zyklus). Ad-hoc-Revision bei wesentlichen regulatorischen Aenderungen. Versionierung im Group Policy Management System (PMS), Eigentuemer: Group Compliance Office, Stuttgart.</w:t>
      </w:r>
    </w:p>
    <w:p>
      <w:pPr>
        <w:pStyle w:val="Heading3"/>
      </w:pPr>
      <w:r>
        <w:t>Unterschriften / Freigabe</w:t>
      </w:r>
    </w:p>
    <w:p>
      <w:r>
        <w:t>Ort, Datum: Stuttgart, den 14. Maerz 2023</w:t>
      </w:r>
    </w:p>
    <w:p>
      <w:r>
        <w:t>_________________________            _________________________</w:t>
        <w:br/>
        <w:t>Anna Mueller                          Laura Bauer</w:t>
        <w:br/>
        <w:t>Vorstandsvorsitzende                          CFO</w:t>
        <w:br/>
        <w:t>Brennhagen Elektronik AG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