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Umwelt</w:t>
      </w:r>
    </w:p>
    <w:p>
      <w:pPr>
        <w:jc w:val="center"/>
      </w:pPr>
      <w:r>
        <w:t>Verbindlich fuer Brennhagen Elektronik AG und alle Konzerngesellschaften (REG, RSG, RPL, RCZ, RHU, RCN, RHO); Stand 2023</w:t>
      </w:r>
    </w:p>
    <w:p/>
    <w:p>
      <w:pPr>
        <w:pStyle w:val="Heading3"/>
      </w:pPr>
      <w:r>
        <w:t>Praeambel</w:t>
      </w:r>
    </w:p>
    <w:p>
      <w:r>
        <w:t>Diese Konzernrichtlinie regelt das Themengebiet »Umweltmanagement«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Etablierung Umweltmanagement-System nach ISO 14001 an allen Produktionsstandorten</w:t>
      </w:r>
    </w:p>
    <w:p>
      <w:pPr>
        <w:pStyle w:val="ListBullet"/>
      </w:pPr>
      <w:r>
        <w:t>Energiemanagement-System nach ISO 50001 (Werke Heilbronn, Katowice, Brno, Gyoer)</w:t>
      </w:r>
    </w:p>
    <w:p>
      <w:pPr>
        <w:pStyle w:val="ListBullet"/>
      </w:pPr>
      <w:r>
        <w:t>CO2-Bilanzierung Scope 1+2 jaehrlich, Scope 3 schrittweise ausgebaut</w:t>
      </w:r>
    </w:p>
    <w:p>
      <w:pPr>
        <w:pStyle w:val="ListBullet"/>
      </w:pPr>
      <w:r>
        <w:t>Wasser-, Abfall- und Gefahrstoff-Reporting standardisiert</w:t>
      </w:r>
    </w:p>
    <w:p>
      <w:pPr>
        <w:pStyle w:val="ListBullet"/>
      </w:pPr>
      <w:r>
        <w:t>Investitionen in erneuerbare Energien (PV-Anlagen Werk Heilbronn / Katowice geplant)</w:t>
      </w:r>
    </w:p>
    <w:p>
      <w:pPr>
        <w:pStyle w:val="ListBullet"/>
      </w:pPr>
      <w:r>
        <w:t>Lieferanten werden in das Konzern-Umweltprogramm einbezogen (SCOPE 3)</w:t>
      </w:r>
    </w:p>
    <w:p>
      <w:pPr>
        <w:pStyle w:val="Heading3"/>
      </w:pPr>
      <w:r>
        <w:t>Verantwortlichkeiten</w:t>
      </w:r>
    </w:p>
    <w:p>
      <w:r>
        <w:t>Policy Owner: Group EHS Director (Group EHS Office).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CO2-Emissionen Scope 1+2 jaehrlich (absolut und je Mio. EUR Umsatz)</w:t>
      </w:r>
    </w:p>
    <w:p>
      <w:pPr>
        <w:pStyle w:val="ListBullet"/>
      </w:pPr>
      <w:r>
        <w:t>Anteil erneuerbarer Energien im Strommix &gt; 80 % bis 2026</w:t>
      </w:r>
    </w:p>
    <w:p>
      <w:pPr>
        <w:pStyle w:val="ListBullet"/>
      </w:pPr>
      <w:r>
        <w:t>Wasserverbrauch je Mio. EUR Umsatz (jaehrliches Reporting)</w:t>
      </w:r>
    </w:p>
    <w:p>
      <w:pPr>
        <w:pStyle w:val="ListBullet"/>
      </w:pPr>
      <w:r>
        <w:t>Recyclingquote Abfall &gt; 90 %</w:t>
      </w:r>
    </w:p>
    <w:p>
      <w:pPr>
        <w:pStyle w:val="Heading3"/>
      </w:pPr>
      <w:r>
        <w:t>Verweise / Normen</w:t>
      </w:r>
    </w:p>
    <w:p>
      <w:pPr>
        <w:pStyle w:val="ListBullet"/>
      </w:pPr>
      <w:r>
        <w:t>ISO 14001:2015</w:t>
      </w:r>
    </w:p>
    <w:p>
      <w:pPr>
        <w:pStyle w:val="ListBullet"/>
      </w:pPr>
      <w:r>
        <w:t>ISO 50001:2018</w:t>
      </w:r>
    </w:p>
    <w:p>
      <w:pPr>
        <w:pStyle w:val="ListBullet"/>
      </w:pPr>
      <w:r>
        <w:t>EU EHS-Verordnungen</w:t>
      </w:r>
    </w:p>
    <w:p>
      <w:pPr>
        <w:pStyle w:val="ListBullet"/>
      </w:pPr>
      <w:r>
        <w:t>CSRD ESRS-E1</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