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Whistleblowing</w:t>
      </w:r>
    </w:p>
    <w:p>
      <w:pPr>
        <w:jc w:val="center"/>
      </w:pPr>
      <w:r>
        <w:t>Verbindlich fuer Brennhagen Elektronik AG und alle Konzerngesellschaften (REG, RSG, RPL, RCZ, RHU, RCN, RHO); Stand 2023</w:t>
      </w:r>
    </w:p>
    <w:p/>
    <w:p>
      <w:pPr>
        <w:pStyle w:val="Heading3"/>
      </w:pPr>
      <w:r>
        <w:t>Praeambel</w:t>
      </w:r>
    </w:p>
    <w:p>
      <w:r>
        <w:t>Diese Konzernrichtlinie regelt das Themengebiet »Hinweisgeber-System (Whistleblowing)«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Einrichtung einer Konzern-Hinweisgeber-Hotline (24/7, mehrsprachig) ueber externen Dienstleister EQS Integrity Line</w:t>
      </w:r>
    </w:p>
    <w:p>
      <w:pPr>
        <w:pStyle w:val="ListBullet"/>
      </w:pPr>
      <w:r>
        <w:t>Anonyme Meldungen sind ausdruecklich moeglich und geschuetzt</w:t>
      </w:r>
    </w:p>
    <w:p>
      <w:pPr>
        <w:pStyle w:val="ListBullet"/>
      </w:pPr>
      <w:r>
        <w:t>Vertraulichkeitsgarantie fuer Hinweisgeber gem. HinSchG / EU Whistleblowing-Richtlinie</w:t>
      </w:r>
    </w:p>
    <w:p>
      <w:pPr>
        <w:pStyle w:val="ListBullet"/>
      </w:pPr>
      <w:r>
        <w:t>Verbot von Repressalien (Diskriminierung, Kuendigung) gegen Hinweisgeber</w:t>
      </w:r>
    </w:p>
    <w:p>
      <w:pPr>
        <w:pStyle w:val="ListBullet"/>
      </w:pPr>
      <w:r>
        <w:t>Bearbeitungsfristen: Eingangsbestaetigung 7 Tage, Rueckmeldung 90 Tage</w:t>
      </w:r>
    </w:p>
    <w:p>
      <w:pPr>
        <w:pStyle w:val="ListBullet"/>
      </w:pPr>
      <w:r>
        <w:t>Konzern-weites Hinweisgeber-Komitee unter Leitung des Chief Compliance Officer</w:t>
      </w:r>
    </w:p>
    <w:p>
      <w:pPr>
        <w:pStyle w:val="Heading3"/>
      </w:pPr>
      <w:r>
        <w:t>Verantwortlichkeiten</w:t>
      </w:r>
    </w:p>
    <w:p>
      <w:r>
        <w:t>Policy Owner: Chief Compliance Officer (Group Compliance Office).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Anzahl Meldungen pro Jahr (Reporting)</w:t>
      </w:r>
    </w:p>
    <w:p>
      <w:pPr>
        <w:pStyle w:val="ListBullet"/>
      </w:pPr>
      <w:r>
        <w:t>Anteil bearbeiteter Meldungen binnen 90 Tagen &gt; 95 %</w:t>
      </w:r>
    </w:p>
    <w:p>
      <w:pPr>
        <w:pStyle w:val="ListBullet"/>
      </w:pPr>
      <w:r>
        <w:t>Anteil substantiierter Meldungen mit Massnahmen (Reporting)</w:t>
      </w:r>
    </w:p>
    <w:p>
      <w:pPr>
        <w:pStyle w:val="ListBullet"/>
      </w:pPr>
      <w:r>
        <w:t>Befragungsergebnis Vertrauen in Hinweisgeber-System &gt; 70 %</w:t>
      </w:r>
    </w:p>
    <w:p>
      <w:pPr>
        <w:pStyle w:val="Heading3"/>
      </w:pPr>
      <w:r>
        <w:t>Verweise / Normen</w:t>
      </w:r>
    </w:p>
    <w:p>
      <w:pPr>
        <w:pStyle w:val="ListBullet"/>
      </w:pPr>
      <w:r>
        <w:t>HinSchG</w:t>
      </w:r>
    </w:p>
    <w:p>
      <w:pPr>
        <w:pStyle w:val="ListBullet"/>
      </w:pPr>
      <w:r>
        <w:t>EU Whistleblower-Richtlinie (EU) 2019/1937</w:t>
      </w:r>
    </w:p>
    <w:p>
      <w:pPr>
        <w:pStyle w:val="ListBullet"/>
      </w:pPr>
      <w:r>
        <w:t>MAR</w:t>
      </w:r>
    </w:p>
    <w:p>
      <w:pPr>
        <w:pStyle w:val="ListBullet"/>
      </w:pPr>
      <w:r>
        <w:t>interne Anti-Korruptions-Richtlinie</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