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Testbericht Funktionstest EOL (End-of-Line) – DSGVO-Compliance-Telematik-Modul Remanenz-Test (Datenloeschung)</w:t>
      </w:r>
    </w:p>
    <w:p>
      <w:pPr>
        <w:jc w:val="center"/>
      </w:pPr>
      <w:r>
        <w:t>Projekt PRJ-2024-002; Pruefdatum 12. April 2024</w:t>
      </w:r>
    </w:p>
    <w:p/>
    <w:p>
      <w:pPr>
        <w:pStyle w:val="Heading3"/>
      </w:pPr>
      <w:r>
        <w:t>Pruefgegenstand</w:t>
      </w:r>
    </w:p>
    <w:p>
      <w:r>
        <w:t>Produkt/Modul: DSGVO-Compliance-Telematik-Modul Remanenz-Test (Datenloeschung)</w:t>
        <w:br/>
        <w:t>Projekt: PRJ-2024-002</w:t>
        <w:br/>
        <w:t>Testart: Funktionstest EOL (End-of-Line)</w:t>
        <w:br/>
        <w:t>Pruefstand: Validierungs-Labor Werk Heilbronn (REG) / Test-Labor Werk Muenchen (RSG)</w:t>
        <w:br/>
        <w:t>Pruefbericht-Nummer: TR-002-12 April 2024</w:t>
        <w:br/>
        <w:t>Pruefverantwortlich: Q-Ingenieur REG / RSG</w:t>
      </w:r>
    </w:p>
    <w:p>
      <w:pPr>
        <w:pStyle w:val="Heading3"/>
      </w:pPr>
      <w:r>
        <w:t>Pruefnorm und Pruefumfang</w:t>
      </w:r>
    </w:p>
    <w:p>
      <w:r>
        <w:t>Pruefung nach internem Pruefplan unter Beruecksichtigung der einschlaegigen Normen (IATF 16949, je nach Pruefart: ISO 16750, ISO 11452 EMV, ISO 26262 funktionale Sicherheit, AEC-Q100 Stresstests, IEC 60068 Klima). Pruefumfang umfasst Funktionstest, Stresstest (elektrisch/thermisch), EMV-Pruefung (Storfestigkeit / Emission), Schock und Vibration gem. OEM-Spezifikation. Stichprobenumfang gemaess Sampling Plan.</w:t>
      </w:r>
    </w:p>
    <w:p>
      <w:pPr>
        <w:pStyle w:val="Heading3"/>
      </w:pPr>
      <w:r>
        <w:t>Pruefergebnisse</w:t>
      </w:r>
    </w:p>
    <w:p>
      <w:r>
        <w:t>Pruefling wurde nach DSGVO-konformer Datenloeschung (kryptographischer Erase) auf Restdatenfreiheit geprueft. Es wurden 50 Pruefmuster getestet. Ergebnis: 50/50 Muster (100 %) zeigten keine Restdaten in den persistenten Speichern. Die Pruefung erfolgte mittels forensischer Speicheranalyse (Tool: X-Ways Forensics, Pruefspezifikation gem. internem Doc »EOL-DSGVO-Test-Spec-Rev3«). Pruefdauer pro Pruefling ca. 14 Minuten. Keine Auffaelligkeiten festgestellt. Empfehlung: Aufnahme dieses Pruefschritts in die Serienfertigung EOL-Station REG Linie 2 verpflichtend ab Produktionsversion R3.</w:t>
      </w:r>
    </w:p>
    <w:p>
      <w:pPr>
        <w:pStyle w:val="Heading3"/>
      </w:pPr>
      <w:r>
        <w:t>Bewertung und Massnahmen</w:t>
      </w:r>
    </w:p>
    <w:p>
      <w:r>
        <w:t>Auf Basis der dokumentierten Messwerte wird das Pruefobjekt im Pruefumfang als »freigegeben« fuer den naechsten Entwicklungsschritt eingestuft. Festgestellte Abweichungen werden im Mass­nahmenplan (CAPA) erfasst und im Folge-Gate verifiziert. Eine Nachpruefung (Re-Test) wird fuer die kritischen Pruefpunkte nach Aenderungseinfuehrung empfohlen.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Pruefplan und Pruefspezifikation</w:t>
      </w:r>
    </w:p>
    <w:p>
      <w:pPr>
        <w:pStyle w:val="ListBullet"/>
      </w:pPr>
      <w:r>
        <w:t>Anlage 2: Messwerttabellen (Excel)</w:t>
      </w:r>
    </w:p>
    <w:p>
      <w:pPr>
        <w:pStyle w:val="ListBullet"/>
      </w:pPr>
      <w:r>
        <w:t>Anlage 3: Pruefling-Konfiguration und Pruefaufbau-Fotos</w:t>
      </w:r>
    </w:p>
    <w:p>
      <w:pPr>
        <w:pStyle w:val="ListBullet"/>
      </w:pPr>
      <w:r>
        <w:t>Anlage 4: Kalibrierprotokolle der verwendeten Messmittel</w:t>
      </w:r>
    </w:p>
    <w:p>
      <w:pPr>
        <w:pStyle w:val="Heading3"/>
      </w:pPr>
      <w:r>
        <w:t>Freigabe</w:t>
      </w:r>
    </w:p>
    <w:p>
      <w:r>
        <w:t>Ort, Datum: Heilbronn / Muenchen, den 12. April 2024</w:t>
      </w:r>
    </w:p>
    <w:p>
      <w:r>
        <w:t>_________________________            _________________________</w:t>
        <w:br/>
        <w:t>Q-Ingenieur                          Werkleitung / Q-Leitung</w:t>
        <w:br/>
        <w:t>Pruefverantwortlich                          Freigabe</w:t>
        <w:br/>
        <w:t>REG / RSG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