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Antwort des Anmelders auf DPMA-Bescheid – DE 10 2022 015 432.1</w:t>
      </w:r>
    </w:p>
    <w:p>
      <w:pPr>
        <w:jc w:val="center"/>
      </w:pPr>
      <w:r>
        <w:t>Erwiderung im Pruefverfahren beim Deutschen Patent- und Markenamt</w:t>
      </w:r>
    </w:p>
    <w:p/>
    <w:p>
      <w:pPr>
        <w:pStyle w:val="Heading3"/>
      </w:pPr>
      <w:r>
        <w:t>Aktenzeichen / Bezug</w:t>
      </w:r>
    </w:p>
    <w:p>
      <w:r>
        <w:t>DPMA-Aktenzeichen: DE 10 2022 015 432.1</w:t>
        <w:br/>
        <w:t>Bescheiddatum: 14. Februar 2023</w:t>
        <w:br/>
        <w:t>Bezug: Erster Pruefbescheid des DPMA gem. § 45 PatG</w:t>
        <w:br/>
        <w:t>Anwalt der Anmelderin: Patentanwaelte Hengeler Mueller / Vossius &amp; Partner Patentanwaelte, Muenchen</w:t>
        <w:br/>
        <w:t>Anmelderin: Brennhagen Elektronik AG, Stuttgart</w:t>
      </w:r>
    </w:p>
    <w:p>
      <w:pPr>
        <w:pStyle w:val="Heading3"/>
      </w:pPr>
      <w:r>
        <w:t>Gegenstand der Erfindung</w:t>
      </w:r>
    </w:p>
    <w:p>
      <w:r>
        <w:t>Verfahren und Vorrichtung zur sensorischen Multi-Domain-Fusion fuer Level-2/3-ADAS-Systeme mit adaptiver Latenzkompensation. Die Erfindung betrifft insbesondere die Kombination von Radar-, Lidar- und Kameradaten in einer einheitlichen Fusionsschicht, in der die Latenzunterschiede der einzelnen Sensorpfade adaptiv kompensiert werden, sodass die fusionierte Umfeldwahrnehmung in allen Verkehrssituationen mit definierter Worst-Case-Latenz erfolgt.</w:t>
      </w:r>
    </w:p>
    <w:p>
      <w:pPr>
        <w:pStyle w:val="Heading3"/>
      </w:pPr>
      <w:r>
        <w:t>Erwiderung</w:t>
      </w:r>
    </w:p>
    <w:p>
      <w:r>
        <w:t>Die Anmelderin erwidert auf den Bescheid wie folgt: Die im Bescheid genannten Druckschriften D1–D3 nehmen den Anspruch 1 weder neuheitsschaedlich vorweg, noch legen sie die beanspruchte Loesung in naheliegender Weise nahe. Die im Anspruch 1 gekennzeichnete Kombination der Merkmale (a)–(e), insbesondere die Verbindung der ADAS-Sensorfusion mit der adaptiven Latenzkompensation, ist in keiner der zitierten Druckschriften offenbart oder angeregt.</w:t>
      </w:r>
    </w:p>
    <w:p>
      <w:r>
        <w:t>Hilfsweise werden die Ansprueche 1, 5 und 12 wie aus dem beigefuegten Anspruchssatz ersichtlich geaendert. Die geaenderten Ansprueche beruhen auf der ursprueglichen Offenbarung (siehe ursprueglicher Anspruch 7 i. V. m. Beschreibung S. 18, Z. 7–22). Die Aenderungen erweitern den Schutzbereich nicht.</w:t>
      </w:r>
    </w:p>
    <w:p>
      <w:pPr>
        <w:pStyle w:val="Heading3"/>
      </w:pPr>
      <w:r>
        <w:t>Antraege</w:t>
      </w:r>
    </w:p>
    <w:p>
      <w:pPr>
        <w:pStyle w:val="ListBullet"/>
      </w:pPr>
      <w:r>
        <w:t>Erteilung des Patents auf Basis der mit dieser Erwiderung eingereichten Ansprueche 1–18</w:t>
      </w:r>
    </w:p>
    <w:p>
      <w:pPr>
        <w:pStyle w:val="ListBullet"/>
      </w:pPr>
      <w:r>
        <w:t>Hilfsweise Erteilung auf Basis des Hilfsantrags I (Ansprueche 1H–18H)</w:t>
      </w:r>
    </w:p>
    <w:p>
      <w:pPr>
        <w:pStyle w:val="ListBullet"/>
      </w:pPr>
      <w:r>
        <w:t>Hilfsweise muendliche Verhandlung gem. § 46 PatG, sofern das Amt der Hauptantragsfassung nicht zu folgen gedenkt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Neuer Hauptantrag-Anspruchssatz (16 Seiten)</w:t>
      </w:r>
    </w:p>
    <w:p>
      <w:pPr>
        <w:pStyle w:val="ListBullet"/>
      </w:pPr>
      <w:r>
        <w:t>Anlage 2: Hilfsantrag I (16 Seiten)</w:t>
      </w:r>
    </w:p>
    <w:p>
      <w:pPr>
        <w:pStyle w:val="ListBullet"/>
      </w:pPr>
      <w:r>
        <w:t>Anlage 3: Synoptische Darstellung Aenderungen ggue. urspruenglich eingereichter Fassung</w:t>
      </w:r>
    </w:p>
    <w:p>
      <w:pPr>
        <w:pStyle w:val="ListBullet"/>
      </w:pPr>
      <w:r>
        <w:t>Anlage 4: Vollmacht der anwaltschaftlichen Vertretung</w:t>
      </w:r>
    </w:p>
    <w:p>
      <w:pPr>
        <w:pStyle w:val="Heading3"/>
      </w:pPr>
      <w:r>
        <w:t>Unterschrift Anwaltschaft</w:t>
      </w:r>
    </w:p>
    <w:p>
      <w:r>
        <w:t>Muenchen, 15. Juni 2023</w:t>
      </w:r>
    </w:p>
    <w:p>
      <w:r>
        <w:t>Vossius &amp; Partner Patentanwaelte</w:t>
        <w:br/>
        <w:t>Dr. Andreas Vossius, Patentanwalt</w:t>
        <w:br/>
        <w:t>i. V. der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