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Geschäftsordnung für den Vorstand der Brennhagen Elektronik AG</w:t>
      </w:r>
    </w:p>
    <w:p/>
    <w:p>
      <w:pPr>
        <w:pStyle w:val="Heading3"/>
      </w:pPr>
      <w:r>
        <w:t>Vorbemerkung</w:t>
      </w:r>
    </w:p>
    <w:p>
      <w:r>
        <w:t>Diese Geschäftsordnung regelt die interne Organisation und Arbeitsweise des Vorstands der Brennhagen Elektronik AG. Sie wurde vom Aufsichtsrat in seiner Sitzung vom 15. März 2022 beschlossen.</w:t>
      </w:r>
    </w:p>
    <w:p>
      <w:pPr>
        <w:pStyle w:val="Heading3"/>
      </w:pPr>
      <w:r>
        <w:t>§ 1 Zusammensetzung und Ressortverteilung</w:t>
      </w:r>
    </w:p>
    <w:p>
      <w:r>
        <w:t>Der Vorstand setzt sich aktuell aus folgenden Mitgliedern zusammen:</w:t>
      </w:r>
    </w:p>
    <w:p>
      <w:r>
        <w:t>(1) Dr. Petra Hollmann – Vorstandsvorsitzende (CEO): Gesamtleitung, Strategie, M&amp;A, Investor Relations, Recht, Compliance.</w:t>
      </w:r>
    </w:p>
    <w:p>
      <w:r>
        <w:t>(2) Klaus-Peter Zimmermann – Chief Operating Officer (COO): Produktion, Supply Chain, Qualitätsmanagement, IT-Infrastruktur.</w:t>
      </w:r>
    </w:p>
    <w:p>
      <w:r>
        <w:t>(3) Stefan Richter – Chief Financial Officer (CFO): Finanzen, Controlling, Rechnungswesen, Treasury, Steuern.</w:t>
      </w:r>
    </w:p>
    <w:p>
      <w:r>
        <w:t>(4) Dr. Yuki Tanaka – Chief Technology Officer (CTO): Forschung &amp; Entwicklung, IP, Produktmanagement, Innovation.</w:t>
      </w:r>
    </w:p>
    <w:p>
      <w:pPr>
        <w:pStyle w:val="Heading3"/>
      </w:pPr>
      <w:r>
        <w:t>§ 2 Sitzungen</w:t>
      </w:r>
    </w:p>
    <w:p>
      <w:r>
        <w:t>(1) Der Vorstand tritt in der Regel wöchentlich zusammen. Außerordentliche Sitzungen können jederzeit einberufen werden.</w:t>
      </w:r>
    </w:p>
    <w:p>
      <w:r>
        <w:t>(2) Der Vorstand ist beschlussfähig, wenn alle Mitglieder ordnungsgemäß geladen und mindestens drei Mitglieder anwesend sind.</w:t>
      </w:r>
    </w:p>
    <w:p>
      <w:r>
        <w:t>(3) Beschlüsse werden mit einfacher Mehrheit der anwesenden Mitglieder gefasst. Bei Stimmengleichheit entscheidet die Stimme der Vorstandsvorsitzenden.</w:t>
      </w:r>
    </w:p>
    <w:p>
      <w:r>
        <w:t>(4) Über jede Vorstandssitzung ist ein Protokoll zu erstellen, das von der Sitzungsleiterin zu unterzeichnen ist.</w:t>
      </w:r>
    </w:p>
    <w:p>
      <w:pPr>
        <w:pStyle w:val="Heading3"/>
      </w:pPr>
      <w:r>
        <w:t>§ 3 Zustimmungspflichtige Geschäfte</w:t>
      </w:r>
    </w:p>
    <w:p>
      <w:r>
        <w:t>(1) Zustimmung des Aufsichtsrats ist erforderlich für:</w:t>
      </w:r>
    </w:p>
    <w:p>
      <w:r>
        <w:t>a) Investitionen im Einzelfall mit einem Volumen von mehr als EUR 5.000.000;</w:t>
        <w:br/>
        <w:t>b) Aufnahme von Krediten über EUR 10.000.000;</w:t>
        <w:br/>
        <w:t>c) Erwerb oder Veräußerung von Beteiligungen;</w:t>
        <w:br/>
        <w:t>d) Eingehung von Dauerschuldverhältnissen mit einem Gesamtvolumen von mehr als EUR 2.000.000 p.a.</w:t>
      </w:r>
    </w:p>
    <w:p>
      <w:r>
        <w:t>(2) Zustimmung des Gesamtvorstands ist erforderlich für Einzelmaßnahmen mit einem Volumen von mehr als EUR 1.000.000.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