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2020 Q1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Q1 2020 (1.1.-31.3. 2020).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COVID-19-Pandemie: Krisenstab eingerichtet, Werke fahren auf Notbetrieb</w:t>
      </w:r>
    </w:p>
    <w:p>
      <w:pPr>
        <w:pStyle w:val="ListBullet"/>
      </w:pPr>
      <w:r>
        <w:t>Kurzarbeit in den Werken Heilbronn und Gyoer beantragt</w:t>
      </w:r>
    </w:p>
    <w:p>
      <w:pPr>
        <w:pStyle w:val="ListBullet"/>
      </w:pPr>
      <w:r>
        <w:t>Quartalsabschluss verzoegert sich um 5 Werktage, Pruefer informiert</w:t>
      </w:r>
    </w:p>
    <w:p>
      <w:pPr>
        <w:pStyle w:val="ListBullet"/>
      </w:pPr>
      <w:r>
        <w:t>Compliance-Schulungen ins E-Learning verlagert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Mehrere ad-hoc Sachverhalte zu COVID-19 wurden in Vorstandssitzungen ausserhalb der Turnus-Sitzungen behandelt (Dokumentation in Vorstandsprotokollen).</w:t>
      </w:r>
    </w:p>
    <w:p>
      <w:pPr>
        <w:pStyle w:val="Heading3"/>
      </w:pPr>
      <w:r>
        <w:t>Ausblick</w:t>
      </w:r>
    </w:p>
    <w:p>
      <w:r>
        <w:t>Q2 bleibt herausfordernd; Liquiditaetsplanung fuer 6 Monate Stress-Szenario erstellt. Konsortialbanken sind informiert, Covenants weiterhin eingehalten.</w:t>
      </w:r>
    </w:p>
    <w:p>
      <w:pPr>
        <w:pStyle w:val="Heading3"/>
      </w:pPr>
      <w:r>
        <w:t>Unterschrift</w:t>
      </w:r>
    </w:p>
    <w:p>
      <w:r>
        <w:t>Ort, Datum: Stuttgart, den Q1/2020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