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2020 Q2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Q2 2020 (1.4.-30.6. 2020).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Kurzarbeit teilweise zurueckgefuehrt; Werk Heilbronn ab Juni wieder Vollbetrieb</w:t>
      </w:r>
    </w:p>
    <w:p>
      <w:pPr>
        <w:pStyle w:val="ListBullet"/>
      </w:pPr>
      <w:r>
        <w:t>Halbleiter-Versorgungsengpaesse zeichnen sich ab, Beschaffungsstrategie verlaengert</w:t>
      </w:r>
    </w:p>
    <w:p>
      <w:pPr>
        <w:pStyle w:val="ListBullet"/>
      </w:pPr>
      <w:r>
        <w:t>Cyber-Sicherheitsuebung am Standort Stuttgart erfolgreich durchgefuehrt</w:t>
      </w:r>
    </w:p>
    <w:p>
      <w:pPr>
        <w:pStyle w:val="ListBullet"/>
      </w:pPr>
      <w:r>
        <w:t>Whistleblowing-Hotline mit erweiterten Sprachen (PL, CZ, HU, CN) live geschaltet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(vorboerslich).</w:t>
      </w:r>
    </w:p>
    <w:p>
      <w:pPr>
        <w:pStyle w:val="Heading3"/>
      </w:pPr>
      <w:r>
        <w:t>Ausblick</w:t>
      </w:r>
    </w:p>
    <w:p>
      <w:r>
        <w:t>H2/2020 ist von Halbleiter-Engpaessen und volatiler OEM-Nachfrage gepraegt. Treasury hat Stress-Szenarien fuer Q3+Q4 vorbereitet.</w:t>
      </w:r>
    </w:p>
    <w:p>
      <w:pPr>
        <w:pStyle w:val="Heading3"/>
      </w:pPr>
      <w:r>
        <w:t>Unterschrift</w:t>
      </w:r>
    </w:p>
    <w:p>
      <w:r>
        <w:t>Ort, Datum: Stuttgart, den Q2/2020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