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2020 Q3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Q3 2020 (1.7.-30.9. 2020).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Halbleiter-Verfuegbarkeit weiterhin angespannt, Allokationsmanagement im Vertrieb</w:t>
      </w:r>
    </w:p>
    <w:p>
      <w:pPr>
        <w:pStyle w:val="ListBullet"/>
      </w:pPr>
      <w:r>
        <w:t>RPL Katowice: lokale Lock-Down-Massnahmen kurzfristig, Werk lief weiter</w:t>
      </w:r>
    </w:p>
    <w:p>
      <w:pPr>
        <w:pStyle w:val="ListBullet"/>
      </w:pPr>
      <w:r>
        <w:t>Audit-Programm 2020 wegen Reiseeinschraenkungen teilweise auf 2021 verschoben</w:t>
      </w:r>
    </w:p>
    <w:p>
      <w:pPr>
        <w:pStyle w:val="ListBullet"/>
      </w:pPr>
      <w:r>
        <w:t>ESG-Initiative gestartet: Klimastrategie 2030 in Vorbereitung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Q4 fokussiert auf Jahresabschluss-Vorbereitung und Halbleiter-Beschaffung. Lieferanten-Performance-Reviews intensiviert.</w:t>
      </w:r>
    </w:p>
    <w:p>
      <w:pPr>
        <w:pStyle w:val="Heading3"/>
      </w:pPr>
      <w:r>
        <w:t>Unterschrift</w:t>
      </w:r>
    </w:p>
    <w:p>
      <w:r>
        <w:t>Ort, Datum: Stuttgart, den Q3/2020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